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Pr="002B6850" w:rsidRDefault="006816EC">
            <w:pPr>
              <w:jc w:val="both"/>
              <w:rPr>
                <w:rFonts w:ascii="Arial (W1)" w:hAnsi="Arial (W1)"/>
                <w:b/>
                <w:bCs/>
                <w:sz w:val="26"/>
                <w:szCs w:val="26"/>
              </w:rPr>
            </w:pPr>
            <w:bookmarkStart w:id="0" w:name="_GoBack"/>
            <w:bookmarkEnd w:id="0"/>
            <w:r w:rsidRPr="002B6850">
              <w:rPr>
                <w:rFonts w:hint="cs"/>
                <w:b/>
                <w:bCs/>
                <w:sz w:val="26"/>
                <w:szCs w:val="26"/>
                <w:rtl/>
              </w:rPr>
              <w:t xml:space="preserve">בפני </w:t>
            </w:r>
          </w:p>
        </w:tc>
        <w:tc>
          <w:tcPr>
            <w:tcW w:w="8077" w:type="dxa"/>
            <w:gridSpan w:val="2"/>
            <w:hideMark/>
          </w:tcPr>
          <w:p w:rsidR="006816EC" w:rsidRPr="002B6850" w:rsidRDefault="00B32C61" w:rsidP="006816EC">
            <w:pPr>
              <w:rPr>
                <w:rFonts w:ascii="Arial" w:hAnsi="Arial"/>
                <w:b/>
                <w:bCs/>
                <w:sz w:val="26"/>
                <w:szCs w:val="26"/>
                <w:rtl/>
              </w:rPr>
            </w:pPr>
            <w:r w:rsidRPr="002B6850">
              <w:rPr>
                <w:rFonts w:ascii="Arial" w:hAnsi="Arial" w:hint="cs"/>
                <w:b/>
                <w:bCs/>
                <w:sz w:val="26"/>
                <w:szCs w:val="26"/>
                <w:rtl/>
              </w:rPr>
              <w:t>כבוד</w:t>
            </w:r>
            <w:r w:rsidR="006816EC" w:rsidRPr="002B6850">
              <w:rPr>
                <w:rFonts w:ascii="Arial" w:hAnsi="Arial" w:hint="cs"/>
                <w:b/>
                <w:bCs/>
                <w:sz w:val="26"/>
                <w:szCs w:val="26"/>
                <w:rtl/>
              </w:rPr>
              <w:t xml:space="preserve"> ה</w:t>
            </w:r>
            <w:sdt>
              <w:sdtPr>
                <w:rPr>
                  <w:b/>
                  <w:bCs/>
                  <w:sz w:val="26"/>
                  <w:szCs w:val="26"/>
                  <w:rtl/>
                </w:rPr>
                <w:alias w:val="1574"/>
                <w:tag w:val="1574"/>
                <w:id w:val="-868990752"/>
                <w:text w:multiLine="1"/>
              </w:sdtPr>
              <w:sdtEndPr/>
              <w:sdtContent>
                <w:r w:rsidRPr="002B6850">
                  <w:rPr>
                    <w:rFonts w:ascii="Arial" w:hAnsi="Arial"/>
                    <w:b/>
                    <w:bCs/>
                    <w:sz w:val="26"/>
                    <w:szCs w:val="26"/>
                    <w:rtl/>
                  </w:rPr>
                  <w:t xml:space="preserve">שופטת </w:t>
                </w:r>
                <w:r w:rsidR="0061306F">
                  <w:rPr>
                    <w:rFonts w:ascii="Arial" w:hAnsi="Arial" w:hint="cs"/>
                    <w:b/>
                    <w:bCs/>
                    <w:sz w:val="26"/>
                    <w:szCs w:val="26"/>
                    <w:rtl/>
                  </w:rPr>
                  <w:t>ה</w:t>
                </w:r>
                <w:r w:rsidRPr="002B6850">
                  <w:rPr>
                    <w:rFonts w:ascii="Arial" w:hAnsi="Arial"/>
                    <w:b/>
                    <w:bCs/>
                    <w:sz w:val="26"/>
                    <w:szCs w:val="26"/>
                    <w:rtl/>
                  </w:rPr>
                  <w:t>בכירה</w:t>
                </w:r>
              </w:sdtContent>
            </w:sdt>
            <w:r w:rsidR="002B6850">
              <w:rPr>
                <w:rFonts w:ascii="Arial" w:hAnsi="Arial" w:hint="cs"/>
                <w:b/>
                <w:bCs/>
                <w:sz w:val="26"/>
                <w:szCs w:val="26"/>
                <w:rtl/>
              </w:rPr>
              <w:t xml:space="preserve"> </w:t>
            </w:r>
            <w:sdt>
              <w:sdtPr>
                <w:rPr>
                  <w:b/>
                  <w:bCs/>
                  <w:sz w:val="26"/>
                  <w:szCs w:val="26"/>
                  <w:rtl/>
                </w:rPr>
                <w:alias w:val="1573"/>
                <w:tag w:val="1573"/>
                <w:id w:val="407734867"/>
                <w:text w:multiLine="1"/>
              </w:sdtPr>
              <w:sdtEndPr/>
              <w:sdtContent>
                <w:r w:rsidRPr="002B6850">
                  <w:rPr>
                    <w:rFonts w:ascii="Arial" w:hAnsi="Arial"/>
                    <w:b/>
                    <w:bCs/>
                    <w:sz w:val="26"/>
                    <w:szCs w:val="26"/>
                    <w:rtl/>
                  </w:rPr>
                  <w:t>שושנה ברגר</w:t>
                </w:r>
              </w:sdtContent>
            </w:sdt>
          </w:p>
          <w:p w:rsidR="006816EC" w:rsidRPr="002B6850" w:rsidRDefault="006816EC" w:rsidP="006816EC">
            <w:pPr>
              <w:rPr>
                <w:b/>
                <w:bCs/>
                <w:sz w:val="26"/>
                <w:szCs w:val="26"/>
              </w:rPr>
            </w:pPr>
          </w:p>
        </w:tc>
      </w:tr>
      <w:tr w:rsidR="006816EC" w:rsidTr="006816EC">
        <w:trPr>
          <w:jc w:val="center"/>
        </w:trPr>
        <w:tc>
          <w:tcPr>
            <w:tcW w:w="3249" w:type="dxa"/>
            <w:gridSpan w:val="2"/>
          </w:tcPr>
          <w:p w:rsidR="00EC14E9" w:rsidRPr="002B6850" w:rsidRDefault="006045F7" w:rsidP="006045F7">
            <w:pPr>
              <w:rPr>
                <w:rFonts w:ascii="Arial (W1)" w:hAnsi="Arial (W1)"/>
                <w:b/>
                <w:bCs/>
                <w:noProof w:val="0"/>
                <w:sz w:val="26"/>
                <w:szCs w:val="26"/>
              </w:rPr>
            </w:pPr>
            <w:r w:rsidRPr="002B6850">
              <w:rPr>
                <w:rFonts w:hint="cs"/>
                <w:b/>
                <w:bCs/>
                <w:sz w:val="26"/>
                <w:szCs w:val="26"/>
                <w:rtl/>
              </w:rPr>
              <w:t>ה</w:t>
            </w:r>
            <w:sdt>
              <w:sdtPr>
                <w:rPr>
                  <w:rFonts w:hint="cs"/>
                  <w:b/>
                  <w:bCs/>
                  <w:sz w:val="26"/>
                  <w:szCs w:val="26"/>
                  <w:rtl/>
                </w:rPr>
                <w:alias w:val="1180"/>
                <w:tag w:val="1180"/>
                <w:id w:val="-803768281"/>
                <w:text w:multiLine="1"/>
              </w:sdtPr>
              <w:sdtEndPr/>
              <w:sdtContent>
                <w:r w:rsidR="00DA607C" w:rsidRPr="002B6850">
                  <w:rPr>
                    <w:rFonts w:hint="cs"/>
                    <w:b/>
                    <w:bCs/>
                    <w:noProof w:val="0"/>
                    <w:sz w:val="26"/>
                    <w:szCs w:val="26"/>
                    <w:rtl/>
                  </w:rPr>
                  <w:t>מבקש</w:t>
                </w:r>
                <w:r w:rsidRPr="002B6850">
                  <w:rPr>
                    <w:rFonts w:hint="cs"/>
                    <w:b/>
                    <w:bCs/>
                    <w:noProof w:val="0"/>
                    <w:sz w:val="26"/>
                    <w:szCs w:val="26"/>
                    <w:rtl/>
                  </w:rPr>
                  <w:t>ות:</w:t>
                </w:r>
              </w:sdtContent>
            </w:sdt>
          </w:p>
        </w:tc>
        <w:tc>
          <w:tcPr>
            <w:tcW w:w="5571" w:type="dxa"/>
          </w:tcPr>
          <w:p w:rsidR="006045F7" w:rsidRPr="002B6850" w:rsidRDefault="004F5368" w:rsidP="0061306F">
            <w:pPr>
              <w:rPr>
                <w:b/>
                <w:bCs/>
                <w:noProof w:val="0"/>
                <w:sz w:val="26"/>
                <w:szCs w:val="26"/>
                <w:rtl/>
              </w:rPr>
            </w:pPr>
            <w:sdt>
              <w:sdtPr>
                <w:rPr>
                  <w:rFonts w:hint="cs"/>
                  <w:b/>
                  <w:bCs/>
                  <w:noProof w:val="0"/>
                  <w:sz w:val="26"/>
                  <w:szCs w:val="26"/>
                  <w:rtl/>
                </w:rPr>
                <w:alias w:val="1462"/>
                <w:tag w:val="1462"/>
                <w:id w:val="-1143353124"/>
                <w:text w:multiLine="1"/>
              </w:sdtPr>
              <w:sdtEndPr/>
              <w:sdtContent>
                <w:r w:rsidR="00E44DDF" w:rsidRPr="002B6850">
                  <w:rPr>
                    <w:rFonts w:hint="cs"/>
                    <w:b/>
                    <w:bCs/>
                    <w:noProof w:val="0"/>
                    <w:sz w:val="26"/>
                    <w:szCs w:val="26"/>
                    <w:rtl/>
                  </w:rPr>
                  <w:t>1</w:t>
                </w:r>
              </w:sdtContent>
            </w:sdt>
            <w:r w:rsidR="006816EC" w:rsidRPr="002B6850">
              <w:rPr>
                <w:rFonts w:hint="cs"/>
                <w:b/>
                <w:bCs/>
                <w:noProof w:val="0"/>
                <w:sz w:val="26"/>
                <w:szCs w:val="26"/>
                <w:rtl/>
              </w:rPr>
              <w:t>.</w:t>
            </w:r>
            <w:sdt>
              <w:sdtPr>
                <w:rPr>
                  <w:rFonts w:hint="cs"/>
                  <w:b/>
                  <w:bCs/>
                  <w:noProof w:val="0"/>
                  <w:sz w:val="26"/>
                  <w:szCs w:val="26"/>
                  <w:rtl/>
                </w:rPr>
                <w:alias w:val="1478"/>
                <w:tag w:val="1478"/>
                <w:id w:val="160126198"/>
                <w:text w:multiLine="1"/>
              </w:sdtPr>
              <w:sdtEndPr/>
              <w:sdtContent>
                <w:r w:rsidR="006045F7" w:rsidRPr="002B6850">
                  <w:rPr>
                    <w:rFonts w:hint="cs"/>
                    <w:b/>
                    <w:bCs/>
                    <w:noProof w:val="0"/>
                    <w:sz w:val="26"/>
                    <w:szCs w:val="26"/>
                    <w:rtl/>
                  </w:rPr>
                  <w:t xml:space="preserve"> </w:t>
                </w:r>
                <w:r w:rsidR="0061306F">
                  <w:rPr>
                    <w:rFonts w:hint="cs"/>
                    <w:b/>
                    <w:bCs/>
                    <w:noProof w:val="0"/>
                    <w:sz w:val="26"/>
                    <w:szCs w:val="26"/>
                  </w:rPr>
                  <w:t>XXX</w:t>
                </w:r>
              </w:sdtContent>
            </w:sdt>
            <w:r w:rsidR="009C358E" w:rsidRPr="002B6850">
              <w:rPr>
                <w:rFonts w:hint="cs"/>
                <w:b/>
                <w:bCs/>
                <w:noProof w:val="0"/>
                <w:sz w:val="26"/>
                <w:szCs w:val="26"/>
                <w:rtl/>
              </w:rPr>
              <w:t xml:space="preserve"> </w:t>
            </w:r>
            <w:r w:rsidR="006045F7" w:rsidRPr="002B6850">
              <w:rPr>
                <w:rFonts w:hint="cs"/>
                <w:b/>
                <w:bCs/>
                <w:noProof w:val="0"/>
                <w:sz w:val="26"/>
                <w:szCs w:val="26"/>
                <w:rtl/>
              </w:rPr>
              <w:t xml:space="preserve">ת.ז. </w:t>
            </w:r>
            <w:r w:rsidR="0061306F">
              <w:rPr>
                <w:rFonts w:hint="cs"/>
                <w:b/>
                <w:bCs/>
                <w:noProof w:val="0"/>
                <w:sz w:val="26"/>
                <w:szCs w:val="26"/>
              </w:rPr>
              <w:t>XXX</w:t>
            </w:r>
          </w:p>
          <w:p w:rsidR="006045F7" w:rsidRPr="002B6850" w:rsidRDefault="004F5368" w:rsidP="0061306F">
            <w:pPr>
              <w:rPr>
                <w:b/>
                <w:bCs/>
                <w:noProof w:val="0"/>
                <w:sz w:val="26"/>
                <w:szCs w:val="26"/>
                <w:rtl/>
              </w:rPr>
            </w:pPr>
            <w:sdt>
              <w:sdtPr>
                <w:rPr>
                  <w:rFonts w:hint="cs"/>
                  <w:b/>
                  <w:bCs/>
                  <w:noProof w:val="0"/>
                  <w:sz w:val="26"/>
                  <w:szCs w:val="26"/>
                  <w:rtl/>
                </w:rPr>
                <w:alias w:val="1462"/>
                <w:tag w:val="1462"/>
                <w:id w:val="997539504"/>
                <w:text w:multiLine="1"/>
              </w:sdtPr>
              <w:sdtEndPr/>
              <w:sdtContent>
                <w:r w:rsidR="00E44DDF" w:rsidRPr="002B6850">
                  <w:rPr>
                    <w:rFonts w:hint="cs"/>
                    <w:b/>
                    <w:bCs/>
                    <w:noProof w:val="0"/>
                    <w:sz w:val="26"/>
                    <w:szCs w:val="26"/>
                    <w:rtl/>
                  </w:rPr>
                  <w:t>2</w:t>
                </w:r>
              </w:sdtContent>
            </w:sdt>
            <w:r w:rsidR="006816EC" w:rsidRPr="002B6850">
              <w:rPr>
                <w:rFonts w:hint="cs"/>
                <w:b/>
                <w:bCs/>
                <w:noProof w:val="0"/>
                <w:sz w:val="26"/>
                <w:szCs w:val="26"/>
                <w:rtl/>
              </w:rPr>
              <w:t>.</w:t>
            </w:r>
            <w:r w:rsidR="0061306F">
              <w:rPr>
                <w:rFonts w:hint="cs"/>
                <w:b/>
                <w:bCs/>
                <w:noProof w:val="0"/>
                <w:sz w:val="26"/>
                <w:szCs w:val="26"/>
                <w:rtl/>
              </w:rPr>
              <w:t xml:space="preserve"> </w:t>
            </w:r>
            <w:sdt>
              <w:sdtPr>
                <w:rPr>
                  <w:rFonts w:hint="cs"/>
                  <w:b/>
                  <w:bCs/>
                  <w:noProof w:val="0"/>
                  <w:sz w:val="26"/>
                  <w:szCs w:val="26"/>
                  <w:rtl/>
                </w:rPr>
                <w:alias w:val="1478"/>
                <w:tag w:val="1478"/>
                <w:id w:val="-1825733897"/>
                <w:text w:multiLine="1"/>
              </w:sdtPr>
              <w:sdtEndPr/>
              <w:sdtContent>
                <w:r w:rsidR="0061306F">
                  <w:rPr>
                    <w:rFonts w:hint="cs"/>
                    <w:b/>
                    <w:bCs/>
                    <w:noProof w:val="0"/>
                    <w:sz w:val="26"/>
                    <w:szCs w:val="26"/>
                  </w:rPr>
                  <w:t>XXX</w:t>
                </w:r>
              </w:sdtContent>
            </w:sdt>
            <w:r w:rsidR="009C358E" w:rsidRPr="002B6850">
              <w:rPr>
                <w:rFonts w:hint="cs"/>
                <w:b/>
                <w:bCs/>
                <w:noProof w:val="0"/>
                <w:sz w:val="26"/>
                <w:szCs w:val="26"/>
                <w:rtl/>
              </w:rPr>
              <w:t xml:space="preserve"> </w:t>
            </w:r>
            <w:r w:rsidR="006045F7" w:rsidRPr="002B6850">
              <w:rPr>
                <w:rFonts w:hint="cs"/>
                <w:b/>
                <w:bCs/>
                <w:noProof w:val="0"/>
                <w:sz w:val="26"/>
                <w:szCs w:val="26"/>
                <w:rtl/>
              </w:rPr>
              <w:t xml:space="preserve">ת.ז. </w:t>
            </w:r>
            <w:r w:rsidR="0061306F">
              <w:rPr>
                <w:rFonts w:hint="cs"/>
                <w:b/>
                <w:bCs/>
                <w:noProof w:val="0"/>
                <w:sz w:val="26"/>
                <w:szCs w:val="26"/>
              </w:rPr>
              <w:t>XXX</w:t>
            </w:r>
          </w:p>
          <w:p w:rsidR="006816EC" w:rsidRPr="002B6850" w:rsidRDefault="00E44DDF">
            <w:pPr>
              <w:rPr>
                <w:rFonts w:ascii="Arial (W1)" w:hAnsi="Arial (W1)"/>
                <w:b/>
                <w:bCs/>
                <w:noProof w:val="0"/>
                <w:sz w:val="26"/>
                <w:szCs w:val="26"/>
              </w:rPr>
            </w:pPr>
            <w:r w:rsidRPr="002B6850">
              <w:rPr>
                <w:rFonts w:ascii="Arial" w:hAnsi="Arial"/>
                <w:b/>
                <w:bCs/>
                <w:noProof w:val="0"/>
                <w:sz w:val="26"/>
                <w:szCs w:val="26"/>
                <w:rtl/>
              </w:rPr>
              <w:t>ע"י ב"כ עוה"ד</w:t>
            </w:r>
            <w:r w:rsidR="006045F7" w:rsidRPr="002B6850">
              <w:rPr>
                <w:rFonts w:ascii="Arial (W1)" w:hAnsi="Arial (W1)" w:hint="cs"/>
                <w:b/>
                <w:bCs/>
                <w:noProof w:val="0"/>
                <w:sz w:val="26"/>
                <w:szCs w:val="26"/>
                <w:rtl/>
              </w:rPr>
              <w:t xml:space="preserve"> איילת טרסר אבס</w:t>
            </w:r>
          </w:p>
        </w:tc>
      </w:tr>
      <w:tr w:rsidR="006816EC" w:rsidTr="006816EC">
        <w:trPr>
          <w:jc w:val="center"/>
        </w:trPr>
        <w:tc>
          <w:tcPr>
            <w:tcW w:w="8820" w:type="dxa"/>
            <w:gridSpan w:val="3"/>
          </w:tcPr>
          <w:p w:rsidR="006816EC" w:rsidRPr="002B6850" w:rsidRDefault="006816EC">
            <w:pPr>
              <w:rPr>
                <w:rFonts w:ascii="Arial (W1)" w:hAnsi="Arial (W1)"/>
                <w:b/>
                <w:bCs/>
                <w:noProof w:val="0"/>
                <w:sz w:val="26"/>
                <w:szCs w:val="26"/>
                <w:rtl/>
              </w:rPr>
            </w:pPr>
          </w:p>
          <w:p w:rsidR="006816EC" w:rsidRPr="002B6850" w:rsidRDefault="006816EC" w:rsidP="006045F7">
            <w:pPr>
              <w:jc w:val="center"/>
              <w:rPr>
                <w:rFonts w:ascii="Arial (W1)" w:hAnsi="Arial (W1)"/>
                <w:b/>
                <w:bCs/>
                <w:noProof w:val="0"/>
                <w:sz w:val="26"/>
                <w:szCs w:val="26"/>
              </w:rPr>
            </w:pPr>
            <w:r w:rsidRPr="002B6850">
              <w:rPr>
                <w:rFonts w:hint="cs"/>
                <w:b/>
                <w:bCs/>
                <w:noProof w:val="0"/>
                <w:sz w:val="26"/>
                <w:szCs w:val="26"/>
                <w:rtl/>
              </w:rPr>
              <w:t>נגד</w:t>
            </w:r>
          </w:p>
        </w:tc>
      </w:tr>
      <w:tr w:rsidR="006816EC" w:rsidTr="006816EC">
        <w:trPr>
          <w:jc w:val="center"/>
        </w:trPr>
        <w:tc>
          <w:tcPr>
            <w:tcW w:w="3249" w:type="dxa"/>
            <w:gridSpan w:val="2"/>
          </w:tcPr>
          <w:p w:rsidR="006816EC" w:rsidRPr="002B6850" w:rsidRDefault="006816EC">
            <w:pPr>
              <w:rPr>
                <w:rFonts w:ascii="Arial (W1)" w:hAnsi="Arial (W1)"/>
                <w:b/>
                <w:bCs/>
                <w:noProof w:val="0"/>
                <w:sz w:val="26"/>
                <w:szCs w:val="26"/>
                <w:rtl/>
              </w:rPr>
            </w:pPr>
          </w:p>
          <w:p w:rsidR="006816EC" w:rsidRPr="002B6850" w:rsidRDefault="004F5368" w:rsidP="006045F7">
            <w:pPr>
              <w:rPr>
                <w:rFonts w:ascii="Arial (W1)" w:hAnsi="Arial (W1)"/>
                <w:b/>
                <w:bCs/>
                <w:noProof w:val="0"/>
                <w:sz w:val="26"/>
                <w:szCs w:val="26"/>
              </w:rPr>
            </w:pPr>
            <w:sdt>
              <w:sdtPr>
                <w:rPr>
                  <w:rFonts w:hint="cs"/>
                  <w:b/>
                  <w:bCs/>
                  <w:sz w:val="26"/>
                  <w:szCs w:val="26"/>
                  <w:rtl/>
                </w:rPr>
                <w:alias w:val="1184"/>
                <w:tag w:val="1184"/>
                <w:id w:val="-910234160"/>
                <w:text w:multiLine="1"/>
              </w:sdtPr>
              <w:sdtEndPr/>
              <w:sdtContent>
                <w:r w:rsidR="006045F7" w:rsidRPr="002B6850">
                  <w:rPr>
                    <w:rFonts w:hint="cs"/>
                    <w:b/>
                    <w:bCs/>
                    <w:noProof w:val="0"/>
                    <w:sz w:val="26"/>
                    <w:szCs w:val="26"/>
                    <w:rtl/>
                  </w:rPr>
                  <w:t>ה</w:t>
                </w:r>
                <w:r w:rsidR="00E44DDF" w:rsidRPr="002B6850">
                  <w:rPr>
                    <w:rFonts w:hint="cs"/>
                    <w:b/>
                    <w:bCs/>
                    <w:noProof w:val="0"/>
                    <w:sz w:val="26"/>
                    <w:szCs w:val="26"/>
                    <w:rtl/>
                  </w:rPr>
                  <w:t>משיב</w:t>
                </w:r>
                <w:r w:rsidR="006045F7" w:rsidRPr="002B6850">
                  <w:rPr>
                    <w:rFonts w:hint="cs"/>
                    <w:b/>
                    <w:bCs/>
                    <w:noProof w:val="0"/>
                    <w:sz w:val="26"/>
                    <w:szCs w:val="26"/>
                    <w:rtl/>
                  </w:rPr>
                  <w:t>:</w:t>
                </w:r>
              </w:sdtContent>
            </w:sdt>
          </w:p>
        </w:tc>
        <w:tc>
          <w:tcPr>
            <w:tcW w:w="5571" w:type="dxa"/>
          </w:tcPr>
          <w:p w:rsidR="006816EC" w:rsidRPr="002B6850" w:rsidRDefault="006816EC">
            <w:pPr>
              <w:rPr>
                <w:rFonts w:ascii="Arial (W1)" w:hAnsi="Arial (W1)"/>
                <w:b/>
                <w:bCs/>
                <w:noProof w:val="0"/>
                <w:sz w:val="26"/>
                <w:szCs w:val="26"/>
                <w:rtl/>
              </w:rPr>
            </w:pPr>
          </w:p>
          <w:p w:rsidR="006816EC" w:rsidRPr="002B6850" w:rsidRDefault="004F5368" w:rsidP="006045F7">
            <w:pPr>
              <w:rPr>
                <w:rFonts w:ascii="Arial (W1)" w:hAnsi="Arial (W1)"/>
                <w:b/>
                <w:bCs/>
                <w:noProof w:val="0"/>
                <w:sz w:val="26"/>
                <w:szCs w:val="26"/>
              </w:rPr>
            </w:pPr>
            <w:sdt>
              <w:sdtPr>
                <w:rPr>
                  <w:rFonts w:hint="cs"/>
                  <w:b/>
                  <w:bCs/>
                  <w:noProof w:val="0"/>
                  <w:sz w:val="26"/>
                  <w:szCs w:val="26"/>
                  <w:rtl/>
                </w:rPr>
                <w:alias w:val="1486"/>
                <w:tag w:val="1486"/>
                <w:id w:val="1487590763"/>
                <w:text w:multiLine="1"/>
              </w:sdtPr>
              <w:sdtEndPr/>
              <w:sdtContent>
                <w:r w:rsidR="00E44DDF" w:rsidRPr="002B6850">
                  <w:rPr>
                    <w:rFonts w:hint="cs"/>
                    <w:b/>
                    <w:bCs/>
                    <w:noProof w:val="0"/>
                    <w:sz w:val="26"/>
                    <w:szCs w:val="26"/>
                    <w:rtl/>
                  </w:rPr>
                  <w:t>היועץ המשפטי לממשלה</w:t>
                </w:r>
              </w:sdtContent>
            </w:sdt>
            <w:r w:rsidR="009C358E" w:rsidRPr="002B6850">
              <w:rPr>
                <w:rFonts w:hint="cs"/>
                <w:b/>
                <w:bCs/>
                <w:noProof w:val="0"/>
                <w:sz w:val="26"/>
                <w:szCs w:val="26"/>
                <w:rtl/>
              </w:rPr>
              <w:t xml:space="preserve"> </w:t>
            </w:r>
            <w:sdt>
              <w:sdtPr>
                <w:rPr>
                  <w:rFonts w:hint="cs"/>
                  <w:b/>
                  <w:bCs/>
                  <w:noProof w:val="0"/>
                  <w:sz w:val="26"/>
                  <w:szCs w:val="26"/>
                  <w:rtl/>
                </w:rPr>
                <w:alias w:val="2317"/>
                <w:tag w:val="2317"/>
                <w:id w:val="1321767079"/>
                <w:placeholder>
                  <w:docPart w:val="188595C706B84060A65FC27D8AEC282C"/>
                </w:placeholder>
                <w:text w:multiLine="1"/>
              </w:sdtPr>
              <w:sdtEndPr/>
              <w:sdtContent>
                <w:r w:rsidR="006045F7" w:rsidRPr="002B6850">
                  <w:rPr>
                    <w:b/>
                    <w:bCs/>
                    <w:noProof w:val="0"/>
                    <w:sz w:val="26"/>
                    <w:szCs w:val="26"/>
                    <w:rtl/>
                  </w:rPr>
                  <w:br/>
                </w:r>
              </w:sdtContent>
            </w:sdt>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r w:rsidR="00694556">
        <w:trPr>
          <w:jc w:val="center"/>
        </w:trPr>
        <w:tc>
          <w:tcPr>
            <w:tcW w:w="8820" w:type="dxa"/>
            <w:gridSpan w:val="3"/>
          </w:tcPr>
          <w:p w:rsidR="00694556" w:rsidRPr="008F2D7B" w:rsidRDefault="00005C8B">
            <w:pPr>
              <w:bidi w:val="0"/>
              <w:jc w:val="center"/>
              <w:rPr>
                <w:rFonts w:ascii="Arial" w:hAnsi="Arial"/>
                <w:b/>
                <w:bCs/>
                <w:noProof w:val="0"/>
                <w:sz w:val="30"/>
                <w:szCs w:val="30"/>
                <w:u w:val="single"/>
              </w:rPr>
            </w:pPr>
            <w:r w:rsidRPr="008F2D7B">
              <w:rPr>
                <w:rFonts w:ascii="Arial" w:hAnsi="Arial"/>
                <w:b/>
                <w:bCs/>
                <w:noProof w:val="0"/>
                <w:sz w:val="30"/>
                <w:szCs w:val="30"/>
                <w:u w:val="single"/>
                <w:rtl/>
              </w:rPr>
              <w:t>פסק דין</w:t>
            </w:r>
          </w:p>
        </w:tc>
      </w:tr>
    </w:tbl>
    <w:p w:rsidR="00071BA9" w:rsidRDefault="00071BA9" w:rsidP="00071BA9">
      <w:pPr>
        <w:spacing w:line="360" w:lineRule="auto"/>
        <w:ind w:left="368"/>
        <w:contextualSpacing/>
        <w:jc w:val="both"/>
        <w:rPr>
          <w:rFonts w:ascii="David" w:hAnsi="David"/>
          <w:rtl/>
        </w:rPr>
      </w:pPr>
    </w:p>
    <w:p w:rsidR="00071BA9" w:rsidRPr="0043056E" w:rsidRDefault="00071BA9" w:rsidP="0061306F">
      <w:pPr>
        <w:spacing w:line="360" w:lineRule="auto"/>
        <w:ind w:left="-142"/>
        <w:contextualSpacing/>
        <w:jc w:val="both"/>
        <w:rPr>
          <w:rFonts w:ascii="David" w:hAnsi="David"/>
        </w:rPr>
      </w:pPr>
      <w:r w:rsidRPr="0043056E">
        <w:rPr>
          <w:rFonts w:ascii="David" w:hAnsi="David"/>
          <w:rtl/>
        </w:rPr>
        <w:t xml:space="preserve">בפניי בקשה לתיקון צו הורות פסיקתי כך שצו ההורות הפסיקתי יחול באופן רטרואקטיבי, אשר הוגשה ע"י הגב' </w:t>
      </w:r>
      <w:r w:rsidR="0061306F">
        <w:rPr>
          <w:rFonts w:ascii="David" w:hAnsi="David" w:hint="cs"/>
        </w:rPr>
        <w:t>XXX</w:t>
      </w:r>
      <w:r w:rsidR="0061306F">
        <w:rPr>
          <w:rFonts w:ascii="David" w:hAnsi="David" w:hint="cs"/>
          <w:rtl/>
        </w:rPr>
        <w:t xml:space="preserve"> (להלן: "</w:t>
      </w:r>
      <w:r w:rsidR="0061306F" w:rsidRPr="0061306F">
        <w:rPr>
          <w:rFonts w:ascii="David" w:hAnsi="David" w:hint="cs"/>
          <w:b/>
          <w:bCs/>
          <w:rtl/>
        </w:rPr>
        <w:t>פלונית</w:t>
      </w:r>
      <w:r w:rsidR="0061306F">
        <w:rPr>
          <w:rFonts w:ascii="David" w:hAnsi="David" w:hint="cs"/>
          <w:rtl/>
        </w:rPr>
        <w:t>")</w:t>
      </w:r>
      <w:r w:rsidRPr="0043056E">
        <w:rPr>
          <w:rFonts w:ascii="David" w:hAnsi="David"/>
          <w:rtl/>
        </w:rPr>
        <w:t xml:space="preserve"> והגב' </w:t>
      </w:r>
      <w:r w:rsidR="0061306F">
        <w:rPr>
          <w:rFonts w:ascii="David" w:hAnsi="David" w:hint="cs"/>
        </w:rPr>
        <w:t>XXX</w:t>
      </w:r>
      <w:r w:rsidRPr="0043056E">
        <w:rPr>
          <w:rFonts w:ascii="David" w:hAnsi="David"/>
          <w:rtl/>
        </w:rPr>
        <w:t xml:space="preserve"> (להלן</w:t>
      </w:r>
      <w:r w:rsidR="0061306F">
        <w:rPr>
          <w:rFonts w:ascii="David" w:hAnsi="David" w:hint="cs"/>
          <w:rtl/>
        </w:rPr>
        <w:t>: "</w:t>
      </w:r>
      <w:r w:rsidR="0061306F" w:rsidRPr="0061306F">
        <w:rPr>
          <w:rFonts w:ascii="David" w:hAnsi="David" w:hint="cs"/>
          <w:b/>
          <w:bCs/>
          <w:rtl/>
        </w:rPr>
        <w:t>אלמונית</w:t>
      </w:r>
      <w:r w:rsidR="0061306F">
        <w:rPr>
          <w:rFonts w:ascii="David" w:hAnsi="David" w:hint="cs"/>
          <w:rtl/>
        </w:rPr>
        <w:t>". שתי</w:t>
      </w:r>
      <w:r w:rsidRPr="0043056E">
        <w:rPr>
          <w:rFonts w:ascii="David" w:hAnsi="David"/>
          <w:rtl/>
        </w:rPr>
        <w:t>הן ביחד</w:t>
      </w:r>
      <w:r w:rsidR="0061306F">
        <w:rPr>
          <w:rFonts w:ascii="David" w:hAnsi="David" w:hint="cs"/>
          <w:rtl/>
        </w:rPr>
        <w:t xml:space="preserve"> ייקראו להלן</w:t>
      </w:r>
      <w:r w:rsidRPr="0043056E">
        <w:rPr>
          <w:rFonts w:ascii="David" w:hAnsi="David"/>
          <w:rtl/>
        </w:rPr>
        <w:t>: "</w:t>
      </w:r>
      <w:r w:rsidRPr="0043056E">
        <w:rPr>
          <w:rFonts w:ascii="David" w:hAnsi="David"/>
          <w:b/>
          <w:bCs/>
          <w:rtl/>
        </w:rPr>
        <w:t>המבקשות</w:t>
      </w:r>
      <w:r w:rsidR="0061306F">
        <w:rPr>
          <w:rFonts w:ascii="David" w:hAnsi="David"/>
          <w:rtl/>
        </w:rPr>
        <w:t>"</w:t>
      </w:r>
      <w:r w:rsidR="0061306F">
        <w:rPr>
          <w:rFonts w:ascii="David" w:hAnsi="David" w:hint="cs"/>
          <w:rtl/>
        </w:rPr>
        <w:t>)</w:t>
      </w:r>
      <w:r w:rsidRPr="0043056E">
        <w:rPr>
          <w:rFonts w:ascii="David" w:hAnsi="David"/>
          <w:rtl/>
        </w:rPr>
        <w:t xml:space="preserve"> ביחס לקטינה </w:t>
      </w:r>
      <w:r w:rsidR="0061306F">
        <w:rPr>
          <w:rFonts w:ascii="David" w:hAnsi="David" w:hint="cs"/>
        </w:rPr>
        <w:t>XXX</w:t>
      </w:r>
      <w:r w:rsidRPr="0043056E">
        <w:rPr>
          <w:rFonts w:ascii="David" w:hAnsi="David"/>
          <w:rtl/>
        </w:rPr>
        <w:t xml:space="preserve"> ילידת 21.3.13 (להלן: "</w:t>
      </w:r>
      <w:r w:rsidRPr="0043056E">
        <w:rPr>
          <w:rFonts w:ascii="David" w:hAnsi="David"/>
          <w:b/>
          <w:bCs/>
          <w:rtl/>
        </w:rPr>
        <w:t>הקטינה</w:t>
      </w:r>
      <w:r w:rsidRPr="0043056E">
        <w:rPr>
          <w:rFonts w:ascii="David" w:hAnsi="David"/>
          <w:rtl/>
        </w:rPr>
        <w:t xml:space="preserve">") </w:t>
      </w:r>
    </w:p>
    <w:p w:rsidR="00071BA9" w:rsidRPr="0043056E" w:rsidRDefault="00071BA9" w:rsidP="0043056E">
      <w:pPr>
        <w:spacing w:line="360" w:lineRule="auto"/>
        <w:ind w:left="368"/>
        <w:contextualSpacing/>
        <w:jc w:val="both"/>
        <w:rPr>
          <w:rFonts w:ascii="David" w:hAnsi="David"/>
        </w:rPr>
      </w:pPr>
    </w:p>
    <w:p w:rsidR="0061306F" w:rsidRDefault="00071BA9" w:rsidP="0061306F">
      <w:pPr>
        <w:numPr>
          <w:ilvl w:val="0"/>
          <w:numId w:val="1"/>
        </w:numPr>
        <w:spacing w:line="360" w:lineRule="auto"/>
        <w:ind w:left="283"/>
        <w:contextualSpacing/>
        <w:jc w:val="both"/>
        <w:rPr>
          <w:rFonts w:ascii="David" w:hAnsi="David"/>
        </w:rPr>
      </w:pPr>
      <w:r w:rsidRPr="0043056E">
        <w:rPr>
          <w:rFonts w:ascii="David" w:hAnsi="David"/>
          <w:rtl/>
        </w:rPr>
        <w:t xml:space="preserve">המבקשות בנות זוג, מנהלות משק בית משותף משנת 1998. המבקשות חתמו על הסכם לחיים משותפים אשר אושר על ידי בית משפט זה ביום 18.12.07 במסגרת תמ"ש 28000/07. למבקשות שתי בנות נוספות, מלבד הקטינה, שנולדו להן מתרומת זרע לגביהן ניתנו צווי אימוץ: </w:t>
      </w:r>
      <w:r w:rsidR="0061306F">
        <w:rPr>
          <w:rFonts w:ascii="David" w:hAnsi="David" w:hint="cs"/>
        </w:rPr>
        <w:t>XXX</w:t>
      </w:r>
      <w:r w:rsidR="0061306F">
        <w:rPr>
          <w:rFonts w:ascii="David" w:hAnsi="David" w:hint="cs"/>
          <w:rtl/>
        </w:rPr>
        <w:t xml:space="preserve"> </w:t>
      </w:r>
      <w:r w:rsidRPr="0043056E">
        <w:rPr>
          <w:rFonts w:ascii="David" w:hAnsi="David"/>
          <w:rtl/>
        </w:rPr>
        <w:t>ילידת</w:t>
      </w:r>
      <w:r w:rsidR="0061306F">
        <w:rPr>
          <w:rFonts w:ascii="David" w:hAnsi="David" w:hint="cs"/>
          <w:rtl/>
        </w:rPr>
        <w:t xml:space="preserve"> 2007 </w:t>
      </w:r>
      <w:r w:rsidRPr="0043056E">
        <w:rPr>
          <w:rFonts w:ascii="David" w:hAnsi="David"/>
          <w:rtl/>
        </w:rPr>
        <w:t>ו</w:t>
      </w:r>
      <w:r w:rsidR="0061306F">
        <w:rPr>
          <w:rFonts w:ascii="David" w:hAnsi="David" w:hint="cs"/>
        </w:rPr>
        <w:t>XXX</w:t>
      </w:r>
      <w:r w:rsidR="0061306F">
        <w:rPr>
          <w:rFonts w:ascii="David" w:hAnsi="David" w:hint="cs"/>
          <w:rtl/>
        </w:rPr>
        <w:t xml:space="preserve"> </w:t>
      </w:r>
      <w:r w:rsidRPr="0043056E">
        <w:rPr>
          <w:rFonts w:ascii="David" w:hAnsi="David"/>
          <w:rtl/>
        </w:rPr>
        <w:t xml:space="preserve">ילידת </w:t>
      </w:r>
      <w:r w:rsidR="0061306F">
        <w:rPr>
          <w:rFonts w:ascii="David" w:hAnsi="David" w:hint="cs"/>
          <w:rtl/>
        </w:rPr>
        <w:t>2009.</w:t>
      </w:r>
    </w:p>
    <w:p w:rsidR="00071BA9" w:rsidRPr="0043056E" w:rsidRDefault="00071BA9" w:rsidP="0043056E">
      <w:pPr>
        <w:spacing w:line="360" w:lineRule="auto"/>
        <w:ind w:left="368"/>
        <w:contextualSpacing/>
        <w:jc w:val="both"/>
        <w:rPr>
          <w:rFonts w:ascii="David" w:hAnsi="David"/>
        </w:rPr>
      </w:pPr>
    </w:p>
    <w:p w:rsidR="00071BA9" w:rsidRPr="0043056E" w:rsidRDefault="0061306F" w:rsidP="0061306F">
      <w:pPr>
        <w:numPr>
          <w:ilvl w:val="0"/>
          <w:numId w:val="1"/>
        </w:numPr>
        <w:spacing w:line="360" w:lineRule="auto"/>
        <w:ind w:left="283"/>
        <w:contextualSpacing/>
        <w:jc w:val="both"/>
        <w:rPr>
          <w:rFonts w:ascii="David" w:hAnsi="David"/>
        </w:rPr>
      </w:pPr>
      <w:r>
        <w:rPr>
          <w:rFonts w:ascii="David" w:hAnsi="David" w:hint="cs"/>
          <w:rtl/>
        </w:rPr>
        <w:t>פלונית</w:t>
      </w:r>
      <w:r w:rsidR="00071BA9" w:rsidRPr="0043056E">
        <w:rPr>
          <w:rFonts w:ascii="David" w:hAnsi="David"/>
          <w:rtl/>
        </w:rPr>
        <w:t xml:space="preserve"> הינה אמה הביולוגית של הקטינה, שנולדה מתרומת זרע. ביום 17.12.14 ניתן צו הורות פסיקתי אשר קבע את אימהותה של </w:t>
      </w:r>
      <w:r>
        <w:rPr>
          <w:rFonts w:ascii="David" w:hAnsi="David" w:hint="cs"/>
          <w:rtl/>
        </w:rPr>
        <w:t>אלמונית</w:t>
      </w:r>
      <w:r w:rsidR="00071BA9" w:rsidRPr="0043056E">
        <w:rPr>
          <w:rFonts w:ascii="David" w:hAnsi="David"/>
          <w:rtl/>
        </w:rPr>
        <w:t xml:space="preserve"> על הקטינה במסגרת אמ"צ 42/13 (27525-06-13).</w:t>
      </w:r>
    </w:p>
    <w:p w:rsidR="00071BA9" w:rsidRPr="0043056E" w:rsidRDefault="00071BA9" w:rsidP="0043056E">
      <w:pPr>
        <w:pStyle w:val="ad"/>
        <w:spacing w:after="0" w:line="360" w:lineRule="auto"/>
        <w:ind w:left="283"/>
        <w:jc w:val="both"/>
        <w:rPr>
          <w:rFonts w:ascii="David" w:hAnsi="David" w:cs="David"/>
          <w:sz w:val="24"/>
          <w:szCs w:val="24"/>
        </w:rPr>
      </w:pPr>
    </w:p>
    <w:p w:rsidR="000C6E51" w:rsidRDefault="00071BA9" w:rsidP="000C6E51">
      <w:pPr>
        <w:numPr>
          <w:ilvl w:val="0"/>
          <w:numId w:val="1"/>
        </w:numPr>
        <w:spacing w:line="360" w:lineRule="auto"/>
        <w:ind w:left="283"/>
        <w:contextualSpacing/>
        <w:jc w:val="both"/>
        <w:rPr>
          <w:rFonts w:ascii="David" w:hAnsi="David"/>
        </w:rPr>
      </w:pPr>
      <w:r w:rsidRPr="0043056E">
        <w:rPr>
          <w:rFonts w:ascii="David" w:hAnsi="David"/>
          <w:rtl/>
        </w:rPr>
        <w:t>הבקשה נשוא ענייננו, הוגשה ביום 22.12.21, במסגרתה עתרו המבקשות להחיל את צו ההורות הפסיקתי רטרואקטיבית מיום לידת הקטינה.</w:t>
      </w:r>
    </w:p>
    <w:p w:rsidR="000C6E51" w:rsidRDefault="000C6E51" w:rsidP="000C6E51">
      <w:pPr>
        <w:pStyle w:val="ad"/>
        <w:rPr>
          <w:rFonts w:ascii="David" w:hAnsi="David"/>
          <w:rtl/>
        </w:rPr>
      </w:pPr>
    </w:p>
    <w:p w:rsidR="000C6E51" w:rsidRDefault="00071BA9" w:rsidP="000C6E51">
      <w:pPr>
        <w:numPr>
          <w:ilvl w:val="0"/>
          <w:numId w:val="1"/>
        </w:numPr>
        <w:spacing w:line="360" w:lineRule="auto"/>
        <w:ind w:left="283"/>
        <w:contextualSpacing/>
        <w:jc w:val="both"/>
        <w:rPr>
          <w:rFonts w:ascii="David" w:hAnsi="David"/>
        </w:rPr>
      </w:pPr>
      <w:r w:rsidRPr="000C6E51">
        <w:rPr>
          <w:rFonts w:ascii="David" w:hAnsi="David"/>
          <w:rtl/>
        </w:rPr>
        <w:t xml:space="preserve">תגובת ב"כ היועמ"ש הוגשה ביום 7.2.22. </w:t>
      </w:r>
      <w:r w:rsidR="000C6E51" w:rsidRPr="000C6E51">
        <w:rPr>
          <w:rFonts w:ascii="David" w:hAnsi="David"/>
          <w:rtl/>
        </w:rPr>
        <w:t>ב"כ היועמ"ש מתנגד ל</w:t>
      </w:r>
      <w:r w:rsidR="000C6E51">
        <w:rPr>
          <w:rFonts w:ascii="David" w:hAnsi="David" w:hint="cs"/>
          <w:rtl/>
        </w:rPr>
        <w:t>בקשה</w:t>
      </w:r>
      <w:r w:rsidR="000C6E51" w:rsidRPr="000C6E51">
        <w:rPr>
          <w:rFonts w:ascii="David" w:hAnsi="David"/>
          <w:rtl/>
        </w:rPr>
        <w:t>, וסבור כי אין מקום לתקן את הצו המקורי, ויש לדחות הבקשה.</w:t>
      </w:r>
      <w:r w:rsidR="000C6E51">
        <w:rPr>
          <w:rFonts w:ascii="David" w:hAnsi="David" w:hint="cs"/>
          <w:rtl/>
        </w:rPr>
        <w:t xml:space="preserve"> </w:t>
      </w:r>
      <w:r w:rsidRPr="000C6E51">
        <w:rPr>
          <w:rFonts w:ascii="David" w:hAnsi="David"/>
          <w:rtl/>
        </w:rPr>
        <w:t xml:space="preserve">ביום 12.6.22 הוגשה התייחסות משלימה מטעם המבקשות. </w:t>
      </w:r>
    </w:p>
    <w:p w:rsidR="000C6E51" w:rsidRDefault="000C6E51" w:rsidP="000C6E51">
      <w:pPr>
        <w:pStyle w:val="ad"/>
        <w:rPr>
          <w:rFonts w:ascii="David" w:hAnsi="David"/>
          <w:rtl/>
        </w:rPr>
      </w:pPr>
    </w:p>
    <w:p w:rsidR="00071BA9" w:rsidRPr="000C6E51" w:rsidRDefault="00071BA9" w:rsidP="000C6E51">
      <w:pPr>
        <w:numPr>
          <w:ilvl w:val="0"/>
          <w:numId w:val="1"/>
        </w:numPr>
        <w:spacing w:line="360" w:lineRule="auto"/>
        <w:ind w:left="283"/>
        <w:contextualSpacing/>
        <w:jc w:val="both"/>
        <w:rPr>
          <w:rFonts w:ascii="David" w:hAnsi="David"/>
          <w:rtl/>
        </w:rPr>
      </w:pPr>
      <w:r w:rsidRPr="000C6E51">
        <w:rPr>
          <w:rFonts w:ascii="David" w:hAnsi="David"/>
          <w:rtl/>
        </w:rPr>
        <w:t>דיון בתיק התקיים ביום 29.9.22. בסיום הדיון, ניתנה החלטתי במסגרתה ניתנה לב"כ היועמ"ש שהות להגשת טיעון משלים בשאלת טובת הקטינה. משהוגש טיעון משלים מטעם ב"כ היועמ"ש, והתייחסות המבקשות לטיעון המשלים, ניתן כעת פסק הדין.</w:t>
      </w:r>
    </w:p>
    <w:p w:rsidR="00071BA9" w:rsidRPr="0043056E" w:rsidRDefault="00071BA9" w:rsidP="0043056E">
      <w:pPr>
        <w:spacing w:line="360" w:lineRule="auto"/>
        <w:ind w:left="283"/>
        <w:contextualSpacing/>
        <w:jc w:val="both"/>
        <w:rPr>
          <w:rFonts w:ascii="David" w:hAnsi="David"/>
        </w:rPr>
      </w:pPr>
    </w:p>
    <w:p w:rsidR="00B12827" w:rsidRDefault="00B12827" w:rsidP="0043056E">
      <w:pPr>
        <w:spacing w:line="360" w:lineRule="auto"/>
        <w:jc w:val="both"/>
        <w:rPr>
          <w:rFonts w:ascii="David" w:hAnsi="David"/>
          <w:b/>
          <w:bCs/>
          <w:u w:val="single"/>
          <w:rtl/>
        </w:rPr>
      </w:pPr>
    </w:p>
    <w:p w:rsidR="00B12827" w:rsidRDefault="00B12827" w:rsidP="0043056E">
      <w:pPr>
        <w:spacing w:line="360" w:lineRule="auto"/>
        <w:jc w:val="both"/>
        <w:rPr>
          <w:rFonts w:ascii="David" w:hAnsi="David"/>
          <w:b/>
          <w:bCs/>
          <w:u w:val="single"/>
          <w:rtl/>
        </w:rPr>
      </w:pPr>
    </w:p>
    <w:p w:rsidR="00B12827" w:rsidRDefault="00B12827" w:rsidP="0043056E">
      <w:pPr>
        <w:spacing w:line="360" w:lineRule="auto"/>
        <w:jc w:val="both"/>
        <w:rPr>
          <w:rFonts w:ascii="David" w:hAnsi="David"/>
          <w:b/>
          <w:bCs/>
          <w:u w:val="single"/>
          <w:rtl/>
        </w:rPr>
      </w:pPr>
    </w:p>
    <w:p w:rsidR="00071BA9" w:rsidRPr="0043056E" w:rsidRDefault="00071BA9" w:rsidP="0043056E">
      <w:pPr>
        <w:spacing w:line="360" w:lineRule="auto"/>
        <w:jc w:val="both"/>
        <w:rPr>
          <w:rFonts w:ascii="David" w:hAnsi="David"/>
          <w:u w:val="single"/>
          <w:rtl/>
        </w:rPr>
      </w:pPr>
      <w:r w:rsidRPr="0043056E">
        <w:rPr>
          <w:rFonts w:ascii="David" w:hAnsi="David"/>
          <w:b/>
          <w:bCs/>
          <w:u w:val="single"/>
          <w:rtl/>
        </w:rPr>
        <w:t>החלה רטרואקטיבית של צו הורות פסיקתי- הדין:</w:t>
      </w:r>
    </w:p>
    <w:p w:rsidR="00071BA9" w:rsidRPr="0043056E" w:rsidRDefault="00071BA9" w:rsidP="0043056E">
      <w:pPr>
        <w:spacing w:line="360" w:lineRule="auto"/>
        <w:jc w:val="both"/>
        <w:rPr>
          <w:rFonts w:ascii="David" w:hAnsi="David"/>
          <w:u w:val="single"/>
          <w:rtl/>
        </w:rPr>
      </w:pPr>
    </w:p>
    <w:p w:rsidR="00071BA9" w:rsidRPr="0043056E" w:rsidRDefault="00071BA9" w:rsidP="0043056E">
      <w:pPr>
        <w:numPr>
          <w:ilvl w:val="0"/>
          <w:numId w:val="1"/>
        </w:numPr>
        <w:spacing w:line="360" w:lineRule="auto"/>
        <w:ind w:left="283" w:hanging="284"/>
        <w:contextualSpacing/>
        <w:jc w:val="both"/>
        <w:rPr>
          <w:rFonts w:ascii="David" w:hAnsi="David"/>
          <w:rtl/>
        </w:rPr>
      </w:pPr>
      <w:r w:rsidRPr="0043056E">
        <w:rPr>
          <w:rFonts w:ascii="David" w:hAnsi="David"/>
          <w:spacing w:val="10"/>
          <w:rtl/>
        </w:rPr>
        <w:t>ביום 14.2.2021 ניתן פסק הדין ב</w:t>
      </w:r>
      <w:hyperlink r:id="rId8" w:history="1">
        <w:r w:rsidRPr="0043056E">
          <w:rPr>
            <w:rStyle w:val="Hyperlink"/>
            <w:rFonts w:ascii="David" w:hAnsi="David"/>
            <w:color w:val="auto"/>
            <w:spacing w:val="10"/>
            <w:u w:val="none"/>
            <w:rtl/>
          </w:rPr>
          <w:t>בע"ם 5544/18</w:t>
        </w:r>
      </w:hyperlink>
      <w:r w:rsidRPr="0043056E">
        <w:rPr>
          <w:rFonts w:ascii="David" w:hAnsi="David"/>
          <w:spacing w:val="10"/>
          <w:rtl/>
        </w:rPr>
        <w:t xml:space="preserve"> היועץ המשפטי לממשלה נ' איילון </w:t>
      </w:r>
      <w:r w:rsidRPr="0043056E">
        <w:rPr>
          <w:rFonts w:ascii="David" w:hAnsi="David"/>
          <w:rtl/>
        </w:rPr>
        <w:t xml:space="preserve">[פורסם בנבו] </w:t>
      </w:r>
      <w:r w:rsidRPr="0043056E">
        <w:rPr>
          <w:rFonts w:ascii="David" w:hAnsi="David"/>
          <w:spacing w:val="10"/>
          <w:rtl/>
        </w:rPr>
        <w:t>(להלן:</w:t>
      </w:r>
      <w:r w:rsidR="0043056E">
        <w:rPr>
          <w:rFonts w:ascii="David" w:hAnsi="David" w:hint="cs"/>
          <w:rtl/>
        </w:rPr>
        <w:t xml:space="preserve"> </w:t>
      </w:r>
      <w:r w:rsidRPr="0043056E">
        <w:rPr>
          <w:rFonts w:ascii="David" w:hAnsi="David"/>
          <w:spacing w:val="10"/>
          <w:rtl/>
        </w:rPr>
        <w:t>"</w:t>
      </w:r>
      <w:r w:rsidRPr="0043056E">
        <w:rPr>
          <w:rFonts w:ascii="David" w:hAnsi="David"/>
          <w:b/>
          <w:bCs/>
          <w:spacing w:val="10"/>
          <w:rtl/>
        </w:rPr>
        <w:t>בע"מ איילון</w:t>
      </w:r>
      <w:r w:rsidRPr="0043056E">
        <w:rPr>
          <w:rFonts w:ascii="David" w:hAnsi="David"/>
          <w:spacing w:val="10"/>
          <w:rtl/>
        </w:rPr>
        <w:t xml:space="preserve">"), אשר נסב על שאלת תחולתו הרטרואקטיבית של צו הורות הפסיקתי ביחס לבת זוגה של מי שילדה באמצעות תרומת זרע אנונימית. בית המשפט העליון קבע כי בנסיבות של תרומת זרע אנונימית ניתן להכיר בתחולה רטרואקטיבית של צו הורות כך שיחול החל ממועד הלידה. זאת, בכפוף לכך שהבקשה למתן הצו הוגשה לבית המשפט בתוך פרק זמן של תשעה חודשים ממועד הלידה. כמו כן, נקבעו בהקשר זה גם הוראות מעבר באשר לצווי הורות שיינתנו בעניינם של ילדים שנולדו לפני מתן פסק הדין (בפסקה 16 לחוות דעתו של השופט (כתוארו אז) </w:t>
      </w:r>
      <w:r w:rsidRPr="0043056E">
        <w:rPr>
          <w:rFonts w:ascii="David" w:hAnsi="David"/>
          <w:b/>
          <w:rtl/>
        </w:rPr>
        <w:t>הנדל</w:t>
      </w:r>
      <w:r w:rsidRPr="0043056E">
        <w:rPr>
          <w:rFonts w:ascii="David" w:hAnsi="David"/>
          <w:spacing w:val="10"/>
          <w:rtl/>
        </w:rPr>
        <w:t>):</w:t>
      </w:r>
    </w:p>
    <w:p w:rsidR="00071BA9" w:rsidRPr="00DA607C" w:rsidRDefault="00071BA9" w:rsidP="0043056E">
      <w:pPr>
        <w:spacing w:line="360" w:lineRule="auto"/>
        <w:ind w:left="283"/>
        <w:contextualSpacing/>
        <w:jc w:val="both"/>
        <w:rPr>
          <w:rFonts w:ascii="David" w:hAnsi="David"/>
        </w:rPr>
      </w:pPr>
      <w:r w:rsidRPr="0043056E">
        <w:rPr>
          <w:rFonts w:ascii="David" w:hAnsi="David"/>
          <w:b/>
          <w:bCs/>
          <w:rtl/>
        </w:rPr>
        <w:t xml:space="preserve">"16. כאמור לעיל (פסקה 2), כל הבקשות למתן צו הורות פסיקתי בהליכים שלפנינו  הוגשו למעלה מ-9 חודשים לאחר מועד לידת הקטינים. לפיכך, יש, לכאורה, בהכרעה העקרונית אליה הגעתי כדי להביא להתערבות בהכרעת הערכאות הקודמות, ולביטול התחולה הרטרואקטיבית של צווי ההורות. אולם, ובהמשך לנימוקים שפורטו לעיל, נכון לתת את הדעת במסגרת פסק דין זה, הקובע מדיניות רחבת היקף, על הוראת מעבר. ראייה זו מצביעה על הצורך להבחין בין שלוש קבוצות רלוונטיות: </w:t>
      </w:r>
      <w:r w:rsidRPr="00DA607C">
        <w:rPr>
          <w:rFonts w:ascii="David" w:hAnsi="David"/>
          <w:b/>
          <w:bCs/>
          <w:u w:val="single"/>
          <w:rtl/>
        </w:rPr>
        <w:t>(א) הורים שכבר הגישו בקשה למתן צו הורות פסיקתי</w:t>
      </w:r>
      <w:r w:rsidRPr="0043056E">
        <w:rPr>
          <w:rFonts w:ascii="David" w:hAnsi="David"/>
          <w:b/>
          <w:bCs/>
          <w:rtl/>
        </w:rPr>
        <w:t xml:space="preserve">, דוגמת המשיבות דנן; (ב) הורים שילדיהם כבר באו לעולם, אך טרם ביקשו צו הורות פסיקתי; (ג) הורים שילדיהם יבואו לעולם רק לאחר מתן פסק הדין בהליכים שלפנינו. עמדתי היא כי בשעה שתחולה רטרואקטיבית ביחס לקבוצה ג' תתאפשר רק כאשר הבקשה לצו הורות פסיקתי הוגשה בתוך 9 חודשים ממועד הלידה, יש לאמץ את הוראת המעבר הבאה ביחס לקבוצות האחרות: ראשית, </w:t>
      </w:r>
      <w:r w:rsidRPr="00DA607C">
        <w:rPr>
          <w:rFonts w:ascii="David" w:hAnsi="David"/>
          <w:b/>
          <w:bCs/>
          <w:u w:val="single"/>
          <w:rtl/>
        </w:rPr>
        <w:t>הערכאות הדיוניות יוכלו להעניק תוקף רטרואקטיבי להורותם של הורים המשתייכים לקבוצה א', גם אם בקשתם למתן הצו הוגשה זמן רב לאחר הלידה</w:t>
      </w:r>
      <w:r w:rsidRPr="0043056E">
        <w:rPr>
          <w:rFonts w:ascii="David" w:hAnsi="David"/>
          <w:b/>
          <w:bCs/>
          <w:rtl/>
        </w:rPr>
        <w:t xml:space="preserve">. אשר לקבוצה ב' – מרוץ תשעת החודשים יחל ממועד מתן פסק הדין, כך שהורים שיבקשו צו הורות במהלך תשעת החודשים הקרובים יוכלו לזכות בהכרה רטרואקטיבית, גם אם ילדם בא לעולם כבר לפני תקופה ארוכה. הטעם להוראת מעבר זו נעוץ בתכלית הבסיסית שביסוד מגבלת 9 החודשים. ההצדקה להגבלת תחולה רטרואקטיבית נעוצה בצורך לעודד הסדרה מהירה של מעמד ההורות – או, במילים אחרות, להכווין את התנהגותם של בני ובנות זוג בעלי זיקה לזיקה. מטבע הדברים, לתכלית זו יש משקל רב במבט צופה פני עתיד; ההנחה היא כי בנות זוג המשתייכות לקבוצה ג' יזדרזו כעת לכונן את הורותן, מתוך הבנה שהסדרה מאוחרת תנציח את "פער ההורות" – ותשלול מהן הכרה ביחס לתקופה שקדמה למתן הצו הפסיקתי. בכך יש כדי לשרת את טובת הילד במובן הרחב, גם במחיר פגיעה באינטרס המיידי שלו במקרה שהוריו השתהו בפתיחת ההליך השיפוטי. מנגד, </w:t>
      </w:r>
      <w:r w:rsidRPr="00DA607C">
        <w:rPr>
          <w:rFonts w:ascii="David" w:hAnsi="David"/>
          <w:b/>
          <w:bCs/>
          <w:u w:val="single"/>
          <w:rtl/>
        </w:rPr>
        <w:t>אין כל תועלת בהחלה רטרואקטיבית של מגבלת 9 החודשים ממועד הלידה על ילדים מקבוצות א' וב' – אשר באו לעולם בטרם גובשה מדיניות היועהמ"ש, ובטרם נוצרה הלכה ברורה בסוגיה.</w:t>
      </w:r>
      <w:r w:rsidRPr="0043056E">
        <w:rPr>
          <w:rFonts w:ascii="David" w:hAnsi="David"/>
          <w:b/>
          <w:bCs/>
          <w:rtl/>
        </w:rPr>
        <w:t xml:space="preserve"> </w:t>
      </w:r>
      <w:r w:rsidRPr="00DA607C">
        <w:rPr>
          <w:rFonts w:ascii="David" w:hAnsi="David"/>
          <w:b/>
          <w:bCs/>
          <w:u w:val="single"/>
          <w:rtl/>
        </w:rPr>
        <w:lastRenderedPageBreak/>
        <w:t>אדרבה, הגדרת מועד פרסום פסק הדין הנוכחי כקו פרשת המים, תאפשר להעניק מענה מיטבי לאותם ילדים – שבעניינם נוצר "מעשה עשוי", משום שלא ניתן עוד להחזיר את הגלגל לאחור, ולכונן את ההורות סמוך ללידתם</w:t>
      </w:r>
      <w:r w:rsidRPr="0043056E">
        <w:rPr>
          <w:rFonts w:ascii="David" w:hAnsi="David"/>
          <w:b/>
          <w:bCs/>
          <w:rtl/>
        </w:rPr>
        <w:t xml:space="preserve">. זאת, מבלי לפגוע בתמריץ להסדרה מהירה של מעמד יילודים מקבוצה ג', שעליהם תחול המדיניות החדשה, ושל יילודים מקבוצה ב', שספירת 9 החודשים בעניינם תחל ממועד מתן פסק הדין בהליך דנן. </w:t>
      </w:r>
      <w:r w:rsidRPr="00DA607C">
        <w:rPr>
          <w:rFonts w:ascii="David" w:hAnsi="David"/>
          <w:b/>
          <w:bCs/>
          <w:u w:val="single"/>
          <w:rtl/>
        </w:rPr>
        <w:t>העדר הוראת מעבר ביחס לילדים שנולדו עובר למתן פסק הדין הנוכחי ימנע מההורים הזדמנות לכונן את הורותם ממועד הלידה, ובכך יופר האיזון בין השיקולים השונים באשר לקביעת סד הזמנים לתחולה הרטרואקטיבית. לנימוק זה משנה תוקף ביחס למרבית המשיבות בהליכים דנן, שהורותן מתבררת ביחס ללידות שהתרחשו בין השנים 2011 ל-2014 (למעט בבע"ם 3162/19). ספק אם ניתן היה לצפות מהמשיבות למהר ולפנות באותה עת לערוץ זה, שהופעל לראשונה בשנת 2012, זכה להתייחסות ראשונית בפסיקת בית המשפט העליון רק בשנת 2014, ולפחות עד שלביו המתקדמים של ההליך הנוכחי לא ניתן פרסום הולם לעמדתה המשתנה של המדינה באשר לתנאים לקבלתו</w:t>
      </w:r>
      <w:r w:rsidRPr="0043056E">
        <w:rPr>
          <w:rFonts w:ascii="David" w:hAnsi="David"/>
          <w:b/>
          <w:bCs/>
          <w:rtl/>
        </w:rPr>
        <w:t xml:space="preserve">. הוא הדין בנוגע לחלופת האימוץ, שאפשר שנתפסה בעיני המשיבות כמי שאינה מתארת את מציאות חייהן ההורית הממשית. כך או כך, ענייננו אינו בבחינת התנהלות בנות הזוג, אלא במתן תמריץ להסדרה מהירה בעתיד – ועל כן, כאמור, </w:t>
      </w:r>
      <w:r w:rsidRPr="00DA607C">
        <w:rPr>
          <w:rFonts w:ascii="David" w:hAnsi="David"/>
          <w:b/>
          <w:bCs/>
          <w:u w:val="single"/>
          <w:rtl/>
        </w:rPr>
        <w:t xml:space="preserve">אין טעם לפגוע בתוקף צווי העבר ובטובת הקטינים התלויה בהם. כך לגבי המשיבות המשתייכות לקבוצה א', </w:t>
      </w:r>
      <w:r w:rsidRPr="0043056E">
        <w:rPr>
          <w:rFonts w:ascii="David" w:hAnsi="David"/>
          <w:b/>
          <w:bCs/>
          <w:rtl/>
        </w:rPr>
        <w:t xml:space="preserve">וכך לגבי הורים אחרים המשתייכים לקבוצה ב'. בד בבד, מובן שההתאמה הנדרשת ביחס לקבוצה ב' מתמצה בדחיית נקודת הפתיחה של מניין 9 החודשים – כך שזו תהיה במועד מתן פסק הדין הנוכחי, ולא ביום הלידה (בדומה לקבוצה ג') – מבלי להאריך את המועד מעבר לכך. יצוין כי ניתן היה לשקול הוראת מעבר לתקופה קצרה יותר לגבי קבוצה ב' – למשל, 6 חודשים במקום 9 – אך מוטב לקבוע הוראת מעבר אחידה ביחס לכל הקבוצות, ובתוכן. ומילה אחרונה על הוראות מעבר. </w:t>
      </w:r>
      <w:r w:rsidRPr="00DA607C">
        <w:rPr>
          <w:rFonts w:ascii="David" w:hAnsi="David"/>
          <w:b/>
          <w:bCs/>
          <w:u w:val="single"/>
          <w:rtl/>
        </w:rPr>
        <w:t>מלאכת קביעת הסעד היא עדינה וחשובה כאחת. כך ביתר שאת לגבי נושא רגיש כמו הכרה וכינון קשר ההורות בין הורה לילדו</w:t>
      </w:r>
      <w:r w:rsidRPr="0043056E">
        <w:rPr>
          <w:rFonts w:ascii="David" w:hAnsi="David"/>
          <w:b/>
          <w:bCs/>
          <w:rtl/>
        </w:rPr>
        <w:t>. נכון לקבוע תקופת מעבר שתציב כלל ברור, ותקנה בהירות גם במקרים שאינם בפנינו. תוצאה זו משקללת את עמדת היועהמ"ש שעברה שינויים במהלך הדיון בערעורים, ולטעמי טוב שכך. הוראת המעבר אף נותנת ביטוי לעמדת ב"כ הצדדים כי על אף המחלוקת ביניהם, נכון לקבוע כלל רחב שיתמודד עם היקף גדול יותר של המקרים מאלה שבפנינו".</w:t>
      </w:r>
      <w:r w:rsidR="00DA607C">
        <w:rPr>
          <w:rFonts w:ascii="David" w:hAnsi="David" w:hint="cs"/>
          <w:b/>
          <w:bCs/>
          <w:rtl/>
        </w:rPr>
        <w:t xml:space="preserve"> </w:t>
      </w:r>
      <w:r w:rsidR="00DA607C" w:rsidRPr="00DA607C">
        <w:rPr>
          <w:rFonts w:ascii="David" w:hAnsi="David" w:hint="cs"/>
          <w:rtl/>
        </w:rPr>
        <w:t>(ההדגשות שלי- ש.ב.).</w:t>
      </w:r>
    </w:p>
    <w:p w:rsidR="00071BA9" w:rsidRPr="0043056E" w:rsidRDefault="00071BA9" w:rsidP="0043056E">
      <w:pPr>
        <w:spacing w:line="360" w:lineRule="auto"/>
        <w:ind w:left="369"/>
        <w:contextualSpacing/>
        <w:jc w:val="both"/>
        <w:rPr>
          <w:rFonts w:ascii="David" w:hAnsi="David"/>
          <w:b/>
          <w:bCs/>
          <w:rtl/>
        </w:rPr>
      </w:pPr>
    </w:p>
    <w:p w:rsidR="00071BA9" w:rsidRPr="0043056E" w:rsidRDefault="00071BA9" w:rsidP="0043056E">
      <w:pPr>
        <w:spacing w:line="360" w:lineRule="auto"/>
        <w:ind w:left="-199"/>
        <w:jc w:val="both"/>
        <w:rPr>
          <w:rFonts w:ascii="David" w:hAnsi="David"/>
          <w:b/>
          <w:bCs/>
          <w:u w:val="single"/>
          <w:rtl/>
        </w:rPr>
      </w:pPr>
      <w:r w:rsidRPr="0043056E">
        <w:rPr>
          <w:rFonts w:ascii="David" w:hAnsi="David"/>
          <w:b/>
          <w:bCs/>
          <w:u w:val="single"/>
          <w:rtl/>
        </w:rPr>
        <w:t>מן הדין אל הנדון:</w:t>
      </w:r>
    </w:p>
    <w:p w:rsidR="00071BA9" w:rsidRPr="0043056E" w:rsidRDefault="00071BA9" w:rsidP="0043056E">
      <w:pPr>
        <w:spacing w:line="360" w:lineRule="auto"/>
        <w:jc w:val="both"/>
        <w:rPr>
          <w:rFonts w:ascii="David" w:hAnsi="David"/>
          <w:b/>
          <w:bCs/>
          <w:u w:val="single"/>
          <w:rtl/>
        </w:rPr>
      </w:pPr>
    </w:p>
    <w:p w:rsidR="00071BA9" w:rsidRPr="0043056E" w:rsidRDefault="00071BA9" w:rsidP="0043056E">
      <w:pPr>
        <w:numPr>
          <w:ilvl w:val="0"/>
          <w:numId w:val="1"/>
        </w:numPr>
        <w:spacing w:line="360" w:lineRule="auto"/>
        <w:ind w:left="283"/>
        <w:contextualSpacing/>
        <w:jc w:val="both"/>
        <w:rPr>
          <w:rFonts w:ascii="David" w:hAnsi="David"/>
          <w:rtl/>
        </w:rPr>
      </w:pPr>
      <w:r w:rsidRPr="0043056E">
        <w:rPr>
          <w:rFonts w:ascii="David" w:hAnsi="David"/>
          <w:rtl/>
        </w:rPr>
        <w:t>בענייננו, המבקשות, משתייכות לקבוצה א'- הורים שכבר הגישו בקשה למתן צו הורות פסיקתי, לגביה נקבע בבע"מ איילון כי בית המשפט יוכל להעניק תוקף רטרואקטיבי להורותם גם אם בקשתם למתן הצו הוגשה זמן רב לאחר הלידה.</w:t>
      </w:r>
    </w:p>
    <w:p w:rsidR="00071BA9" w:rsidRPr="0043056E" w:rsidRDefault="00071BA9" w:rsidP="0043056E">
      <w:pPr>
        <w:spacing w:line="360" w:lineRule="auto"/>
        <w:ind w:left="368"/>
        <w:contextualSpacing/>
        <w:jc w:val="both"/>
        <w:rPr>
          <w:rFonts w:ascii="David" w:hAnsi="David"/>
        </w:rPr>
      </w:pPr>
    </w:p>
    <w:p w:rsidR="00071BA9" w:rsidRPr="0043056E" w:rsidRDefault="00071BA9" w:rsidP="0043056E">
      <w:pPr>
        <w:numPr>
          <w:ilvl w:val="0"/>
          <w:numId w:val="1"/>
        </w:numPr>
        <w:spacing w:line="360" w:lineRule="auto"/>
        <w:ind w:left="283"/>
        <w:contextualSpacing/>
        <w:jc w:val="both"/>
        <w:rPr>
          <w:rFonts w:ascii="David" w:hAnsi="David"/>
        </w:rPr>
      </w:pPr>
      <w:r w:rsidRPr="0043056E">
        <w:rPr>
          <w:rFonts w:ascii="David" w:hAnsi="David"/>
          <w:rtl/>
        </w:rPr>
        <w:lastRenderedPageBreak/>
        <w:t>בנסיבות אלו, יש להידרש למהות העניין, בהתאם לנסיבותיו של המקרה הקונקרטי, תוך התמקדות בשאלת קיומן או היעדרן בפועל של יחסי הורות במועד המוקדם למתן הצו, כאשר שיקול טובת הילד (הקטינה) הוא, בסופו של דבר, המכריע בנסיבות העניין.</w:t>
      </w:r>
    </w:p>
    <w:p w:rsidR="00071BA9" w:rsidRPr="0043056E" w:rsidRDefault="00071BA9" w:rsidP="0043056E">
      <w:pPr>
        <w:pStyle w:val="ad"/>
        <w:spacing w:after="0" w:line="360" w:lineRule="auto"/>
        <w:ind w:left="283"/>
        <w:jc w:val="both"/>
        <w:rPr>
          <w:rFonts w:ascii="David" w:hAnsi="David" w:cs="David"/>
          <w:sz w:val="24"/>
          <w:szCs w:val="24"/>
        </w:rPr>
      </w:pPr>
    </w:p>
    <w:p w:rsidR="00071BA9" w:rsidRPr="0043056E" w:rsidRDefault="00071BA9" w:rsidP="0043056E">
      <w:pPr>
        <w:numPr>
          <w:ilvl w:val="0"/>
          <w:numId w:val="1"/>
        </w:numPr>
        <w:spacing w:line="360" w:lineRule="auto"/>
        <w:ind w:left="283"/>
        <w:contextualSpacing/>
        <w:jc w:val="both"/>
        <w:rPr>
          <w:rFonts w:ascii="David" w:hAnsi="David"/>
        </w:rPr>
      </w:pPr>
      <w:r w:rsidRPr="0043056E">
        <w:rPr>
          <w:rFonts w:ascii="David" w:hAnsi="David"/>
          <w:rtl/>
        </w:rPr>
        <w:t xml:space="preserve">המבקשות מקיימות מערכת זוגית ומשפחתית יציבה מזה שנים רבות- כאמור, משנת 1998 כאשר בשנת 2007 החליטו המבקשות במשותף להרחיב את התא המשפחתי ולהביא ילדים לעולם. מאז נולדו 3 הבנות, והמבקשות מגדלות אותן ביחד למן לידתן. </w:t>
      </w:r>
    </w:p>
    <w:p w:rsidR="00071BA9" w:rsidRPr="0043056E" w:rsidRDefault="00071BA9" w:rsidP="0043056E">
      <w:pPr>
        <w:pStyle w:val="ad"/>
        <w:spacing w:after="0" w:line="360" w:lineRule="auto"/>
        <w:jc w:val="both"/>
        <w:rPr>
          <w:rFonts w:ascii="David" w:eastAsia="Times New Roman" w:hAnsi="David" w:cs="David"/>
          <w:sz w:val="24"/>
          <w:szCs w:val="24"/>
        </w:rPr>
      </w:pPr>
    </w:p>
    <w:p w:rsidR="00071BA9" w:rsidRPr="0043056E" w:rsidRDefault="00071BA9" w:rsidP="0043056E">
      <w:pPr>
        <w:numPr>
          <w:ilvl w:val="0"/>
          <w:numId w:val="1"/>
        </w:numPr>
        <w:spacing w:line="360" w:lineRule="auto"/>
        <w:ind w:left="283"/>
        <w:contextualSpacing/>
        <w:jc w:val="both"/>
        <w:rPr>
          <w:rFonts w:ascii="David" w:eastAsiaTheme="minorHAnsi" w:hAnsi="David"/>
          <w:rtl/>
        </w:rPr>
      </w:pPr>
      <w:r w:rsidRPr="0043056E">
        <w:rPr>
          <w:rFonts w:ascii="David" w:hAnsi="David"/>
          <w:rtl/>
        </w:rPr>
        <w:t xml:space="preserve">בנסיבות חייה של הקטינה, </w:t>
      </w:r>
      <w:r w:rsidR="0061306F">
        <w:rPr>
          <w:rFonts w:ascii="David" w:hAnsi="David" w:hint="cs"/>
          <w:rtl/>
        </w:rPr>
        <w:t xml:space="preserve">כמפורט לעיל, </w:t>
      </w:r>
      <w:r w:rsidRPr="0043056E">
        <w:rPr>
          <w:rFonts w:ascii="David" w:hAnsi="David"/>
          <w:rtl/>
        </w:rPr>
        <w:t>לא מצאתי כל הצדקה שלא להכיר בהורות מיום הלידה.</w:t>
      </w:r>
    </w:p>
    <w:p w:rsidR="00071BA9" w:rsidRPr="0043056E" w:rsidRDefault="00071BA9" w:rsidP="0043056E">
      <w:pPr>
        <w:spacing w:line="360" w:lineRule="auto"/>
        <w:ind w:left="283"/>
        <w:contextualSpacing/>
        <w:jc w:val="both"/>
        <w:rPr>
          <w:rFonts w:ascii="David" w:hAnsi="David"/>
          <w:rtl/>
        </w:rPr>
      </w:pPr>
    </w:p>
    <w:p w:rsidR="00071BA9" w:rsidRPr="0043056E" w:rsidRDefault="00E322EF" w:rsidP="0043056E">
      <w:pPr>
        <w:numPr>
          <w:ilvl w:val="0"/>
          <w:numId w:val="1"/>
        </w:numPr>
        <w:spacing w:line="360" w:lineRule="auto"/>
        <w:ind w:left="283"/>
        <w:contextualSpacing/>
        <w:jc w:val="both"/>
        <w:rPr>
          <w:rFonts w:ascii="David" w:hAnsi="David"/>
        </w:rPr>
      </w:pPr>
      <w:r>
        <w:rPr>
          <w:rFonts w:ascii="David" w:hAnsi="David" w:hint="cs"/>
          <w:rtl/>
        </w:rPr>
        <w:t xml:space="preserve">ייאמר כי </w:t>
      </w:r>
      <w:r w:rsidR="00071BA9" w:rsidRPr="0043056E">
        <w:rPr>
          <w:rFonts w:ascii="David" w:hAnsi="David"/>
          <w:rtl/>
        </w:rPr>
        <w:t>אינ</w:t>
      </w:r>
      <w:r w:rsidR="00B12827">
        <w:rPr>
          <w:rFonts w:ascii="David" w:hAnsi="David" w:hint="cs"/>
          <w:rtl/>
        </w:rPr>
        <w:t>נ</w:t>
      </w:r>
      <w:r w:rsidR="00071BA9" w:rsidRPr="0043056E">
        <w:rPr>
          <w:rFonts w:ascii="David" w:hAnsi="David"/>
          <w:rtl/>
        </w:rPr>
        <w:t xml:space="preserve">י מוצאת טעם ענייני והצדקה להתנגדותו של ב"כ היועמ"ש. לא מצאתי ממש בטענותיו לעניין אי כניסתן של המבקשות לאף אחת מהקבוצות שהוגדרו בבע"מ איילון. כמו כן, שעה שנקבעה הלכה ספציפית לעניין </w:t>
      </w:r>
      <w:r w:rsidR="00071BA9" w:rsidRPr="0043056E">
        <w:rPr>
          <w:rFonts w:ascii="David" w:hAnsi="David"/>
          <w:spacing w:val="10"/>
          <w:rtl/>
        </w:rPr>
        <w:t>תחולתו הרטרואקטיבית של צו הורות הפסיקתי ביחס לבת זוגה של מי שילדה באמצעות תרומת זרע אנונימית</w:t>
      </w:r>
      <w:r w:rsidR="00071BA9" w:rsidRPr="0043056E">
        <w:rPr>
          <w:rFonts w:ascii="David" w:hAnsi="David"/>
          <w:rtl/>
        </w:rPr>
        <w:t xml:space="preserve">, במסגרתה </w:t>
      </w:r>
      <w:r w:rsidR="00071BA9" w:rsidRPr="0043056E">
        <w:rPr>
          <w:rFonts w:ascii="David" w:hAnsi="David"/>
          <w:spacing w:val="10"/>
          <w:rtl/>
        </w:rPr>
        <w:t>נקבעו גם הוראות מעבר באשר לצווי הורות שיינתנו בעניינם של ילדים שנולדו לפני מתן פסק הדין, כנסקר לעיל, אין מקום להחיל על ענייננו את ההלכה שנ</w:t>
      </w:r>
      <w:r w:rsidR="00071BA9" w:rsidRPr="0043056E">
        <w:rPr>
          <w:rFonts w:ascii="David" w:hAnsi="David"/>
          <w:rtl/>
        </w:rPr>
        <w:t>פסקה ב</w:t>
      </w:r>
      <w:hyperlink r:id="rId9" w:history="1">
        <w:r w:rsidR="00071BA9" w:rsidRPr="0043056E">
          <w:rPr>
            <w:rStyle w:val="Hyperlink"/>
            <w:rFonts w:ascii="David" w:hAnsi="David"/>
            <w:color w:val="auto"/>
            <w:u w:val="none"/>
            <w:rtl/>
          </w:rPr>
          <w:t>רע"א 8925/04 סולל בונה נ' עזבון המנוח פ"ד סא</w:t>
        </w:r>
      </w:hyperlink>
      <w:r w:rsidR="00071BA9" w:rsidRPr="0043056E">
        <w:rPr>
          <w:rFonts w:ascii="David" w:hAnsi="David"/>
          <w:rtl/>
        </w:rPr>
        <w:t>(1) 126 (2006)) באשר לאי-תחולה רטרואקטיבית של הלכה חדשה על פסקי דין חלוטים.</w:t>
      </w:r>
    </w:p>
    <w:p w:rsidR="00071BA9" w:rsidRPr="0043056E" w:rsidRDefault="00071BA9" w:rsidP="0043056E">
      <w:pPr>
        <w:pStyle w:val="ad"/>
        <w:spacing w:after="0" w:line="360" w:lineRule="auto"/>
        <w:jc w:val="both"/>
        <w:rPr>
          <w:rFonts w:ascii="David" w:hAnsi="David" w:cs="David"/>
          <w:sz w:val="24"/>
          <w:szCs w:val="24"/>
        </w:rPr>
      </w:pPr>
    </w:p>
    <w:p w:rsidR="00E322EF" w:rsidRDefault="00E322EF" w:rsidP="00DA607C">
      <w:pPr>
        <w:numPr>
          <w:ilvl w:val="0"/>
          <w:numId w:val="1"/>
        </w:numPr>
        <w:spacing w:line="360" w:lineRule="auto"/>
        <w:ind w:left="283"/>
        <w:contextualSpacing/>
        <w:jc w:val="both"/>
        <w:rPr>
          <w:rFonts w:ascii="David" w:hAnsi="David"/>
        </w:rPr>
      </w:pPr>
      <w:r>
        <w:rPr>
          <w:rFonts w:ascii="David" w:hAnsi="David" w:hint="cs"/>
          <w:rtl/>
        </w:rPr>
        <w:t>עוד</w:t>
      </w:r>
      <w:r w:rsidR="00071BA9" w:rsidRPr="0043056E">
        <w:rPr>
          <w:rFonts w:ascii="David" w:hAnsi="David"/>
          <w:rtl/>
        </w:rPr>
        <w:t xml:space="preserve"> ייאמר כי כידוע, נפסק כי </w:t>
      </w:r>
      <w:r w:rsidR="00071BA9" w:rsidRPr="0043056E">
        <w:rPr>
          <w:rFonts w:ascii="David" w:hAnsi="David"/>
          <w:b/>
          <w:bCs/>
          <w:rtl/>
        </w:rPr>
        <w:t>"...</w:t>
      </w:r>
      <w:r w:rsidR="00071BA9" w:rsidRPr="0043056E">
        <w:rPr>
          <w:rFonts w:ascii="David" w:hAnsi="David"/>
          <w:b/>
          <w:bCs/>
          <w:u w:val="single"/>
          <w:rtl/>
        </w:rPr>
        <w:t>החתירה לתור אחר טובתו של קטין, היא לב ההליך ועליה אמון בית המשפט</w:t>
      </w:r>
      <w:r w:rsidR="00071BA9" w:rsidRPr="0043056E">
        <w:rPr>
          <w:rFonts w:ascii="David" w:hAnsi="David"/>
          <w:b/>
          <w:bCs/>
          <w:rtl/>
        </w:rPr>
        <w:t xml:space="preserve">. אזכיר, כי לא בכדי העניק המחוקק הנחיות יסוד שונות מן הרגיל לבית משפט לענייני משפחה בכל הנוגע לדיני הראיות וסדרי הדין. </w:t>
      </w:r>
      <w:r w:rsidR="00071BA9" w:rsidRPr="0043056E">
        <w:rPr>
          <w:rFonts w:ascii="David" w:hAnsi="David"/>
          <w:b/>
          <w:bCs/>
          <w:u w:val="single"/>
          <w:rtl/>
        </w:rPr>
        <w:t>דברים אלה מתעצמים לאור מטרת העל</w:t>
      </w:r>
      <w:r w:rsidR="00071BA9" w:rsidRPr="0043056E">
        <w:rPr>
          <w:rFonts w:ascii="David" w:hAnsi="David"/>
          <w:b/>
          <w:bCs/>
          <w:rtl/>
        </w:rPr>
        <w:t xml:space="preserve"> השורה במקרה דנן, מטרה הגוברת על סדר הדין הפרוצדורלי ודיני הראיות הקבועים, </w:t>
      </w:r>
      <w:r w:rsidR="00071BA9" w:rsidRPr="0043056E">
        <w:rPr>
          <w:rFonts w:ascii="David" w:hAnsi="David"/>
          <w:b/>
          <w:bCs/>
          <w:u w:val="single"/>
          <w:rtl/>
        </w:rPr>
        <w:t>והיא מטרת "טובת הילד", המהווה "מגדלור" לכל צעד ושעל של בית המשפט</w:t>
      </w:r>
      <w:r w:rsidR="00071BA9" w:rsidRPr="0043056E">
        <w:rPr>
          <w:rFonts w:ascii="David" w:hAnsi="David"/>
          <w:b/>
          <w:bCs/>
          <w:rtl/>
        </w:rPr>
        <w:t xml:space="preserve">" </w:t>
      </w:r>
      <w:r w:rsidR="00071BA9" w:rsidRPr="0043056E">
        <w:rPr>
          <w:rFonts w:ascii="David" w:hAnsi="David"/>
          <w:rtl/>
        </w:rPr>
        <w:t xml:space="preserve">(ראו: </w:t>
      </w:r>
      <w:r w:rsidR="00071BA9" w:rsidRPr="0043056E">
        <w:rPr>
          <w:rFonts w:ascii="David" w:eastAsia="Calibri" w:hAnsi="David"/>
          <w:rtl/>
        </w:rPr>
        <w:t>רמ"ש (חי') 47810-06-21 י.ח. נ' א.א</w:t>
      </w:r>
      <w:r w:rsidR="00071BA9" w:rsidRPr="0043056E">
        <w:rPr>
          <w:rFonts w:ascii="David" w:hAnsi="David"/>
          <w:rtl/>
        </w:rPr>
        <w:t xml:space="preserve"> [פורסם בנבו] (12.7.21) בפסקה 18 לפסק דינה של כב' השופטת אספרנצה אלון).</w:t>
      </w:r>
      <w:r w:rsidR="00DA607C">
        <w:rPr>
          <w:rFonts w:ascii="David" w:hAnsi="David"/>
        </w:rPr>
        <w:t xml:space="preserve"> </w:t>
      </w:r>
      <w:r w:rsidR="00DA607C">
        <w:rPr>
          <w:rFonts w:ascii="David" w:hAnsi="David" w:hint="cs"/>
          <w:rtl/>
        </w:rPr>
        <w:t xml:space="preserve">ההדגשות שלי- ש.ב. </w:t>
      </w:r>
      <w:r w:rsidR="00071BA9" w:rsidRPr="0043056E">
        <w:rPr>
          <w:rFonts w:ascii="David" w:hAnsi="David"/>
          <w:b/>
          <w:bCs/>
          <w:u w:val="single"/>
          <w:rtl/>
        </w:rPr>
        <w:t xml:space="preserve">בענייננו, אני סבורה כי טובת הקטינה היא כי יתוקן צו ההורות באופן שיחול ממועד הלידה. כך יתאים מצבה המשפחתי של הקטינה למצבה המשפטי.  </w:t>
      </w:r>
    </w:p>
    <w:p w:rsidR="00E322EF" w:rsidRDefault="00E322EF" w:rsidP="00E322EF">
      <w:pPr>
        <w:pStyle w:val="ad"/>
        <w:rPr>
          <w:rFonts w:ascii="David" w:hAnsi="David"/>
          <w:rtl/>
        </w:rPr>
      </w:pPr>
    </w:p>
    <w:p w:rsidR="00E322EF" w:rsidRPr="00E322EF" w:rsidRDefault="00E322EF" w:rsidP="0061306F">
      <w:pPr>
        <w:numPr>
          <w:ilvl w:val="0"/>
          <w:numId w:val="1"/>
        </w:numPr>
        <w:spacing w:line="360" w:lineRule="auto"/>
        <w:ind w:left="283"/>
        <w:contextualSpacing/>
        <w:jc w:val="both"/>
        <w:rPr>
          <w:rFonts w:ascii="David" w:hAnsi="David"/>
          <w:rtl/>
        </w:rPr>
      </w:pPr>
      <w:r w:rsidRPr="00E322EF">
        <w:rPr>
          <w:rFonts w:ascii="David" w:hAnsi="David"/>
          <w:rtl/>
        </w:rPr>
        <w:t>לפיכך, נוכח כל האמור והמפורט, בנסיבות דנן, לפיהן המבקשות מ</w:t>
      </w:r>
      <w:r w:rsidR="0061306F">
        <w:rPr>
          <w:rFonts w:ascii="David" w:hAnsi="David" w:hint="cs"/>
          <w:rtl/>
        </w:rPr>
        <w:t>נה</w:t>
      </w:r>
      <w:r w:rsidRPr="00E322EF">
        <w:rPr>
          <w:rFonts w:ascii="David" w:hAnsi="David"/>
          <w:rtl/>
        </w:rPr>
        <w:t>לות זוגיות איתנה מזה שנים רבות, ההורות של המבקשות על הקטינה קיימת ממועד ללידתה, וכך היא הוצגה כלפי כולי עלמא, השתכנעתי כי טובת הקטינה מצדיקה להכיר בהורות ממועד הלידה, ועל כן אני קובעת כי צו ההורות יחול מיום לידת הקטינה.</w:t>
      </w:r>
    </w:p>
    <w:p w:rsidR="00071BA9" w:rsidRPr="0043056E" w:rsidRDefault="00071BA9" w:rsidP="0043056E">
      <w:pPr>
        <w:pStyle w:val="ad"/>
        <w:spacing w:after="0" w:line="360" w:lineRule="auto"/>
        <w:jc w:val="both"/>
        <w:rPr>
          <w:rFonts w:ascii="David" w:hAnsi="David" w:cs="David"/>
          <w:b/>
          <w:bCs/>
          <w:sz w:val="24"/>
          <w:szCs w:val="24"/>
          <w:u w:val="single"/>
        </w:rPr>
      </w:pPr>
    </w:p>
    <w:p w:rsidR="00B12827" w:rsidRDefault="00B12827" w:rsidP="0043056E">
      <w:pPr>
        <w:spacing w:line="360" w:lineRule="auto"/>
        <w:jc w:val="both"/>
        <w:rPr>
          <w:rFonts w:ascii="David" w:hAnsi="David"/>
          <w:b/>
          <w:bCs/>
          <w:u w:val="single"/>
          <w:rtl/>
        </w:rPr>
      </w:pPr>
    </w:p>
    <w:p w:rsidR="00B12827" w:rsidRDefault="00B12827" w:rsidP="0043056E">
      <w:pPr>
        <w:spacing w:line="360" w:lineRule="auto"/>
        <w:jc w:val="both"/>
        <w:rPr>
          <w:rFonts w:ascii="David" w:hAnsi="David"/>
          <w:b/>
          <w:bCs/>
          <w:u w:val="single"/>
          <w:rtl/>
        </w:rPr>
      </w:pPr>
    </w:p>
    <w:p w:rsidR="00071BA9" w:rsidRPr="0043056E" w:rsidRDefault="00071BA9" w:rsidP="0043056E">
      <w:pPr>
        <w:spacing w:line="360" w:lineRule="auto"/>
        <w:jc w:val="both"/>
        <w:rPr>
          <w:rFonts w:ascii="David" w:hAnsi="David"/>
          <w:b/>
          <w:bCs/>
          <w:u w:val="single"/>
          <w:rtl/>
        </w:rPr>
      </w:pPr>
      <w:r w:rsidRPr="0043056E">
        <w:rPr>
          <w:rFonts w:ascii="David" w:hAnsi="David"/>
          <w:b/>
          <w:bCs/>
          <w:u w:val="single"/>
          <w:rtl/>
        </w:rPr>
        <w:t xml:space="preserve">סוף דבר: </w:t>
      </w:r>
    </w:p>
    <w:p w:rsidR="00071BA9" w:rsidRPr="0043056E" w:rsidRDefault="00071BA9" w:rsidP="0043056E">
      <w:pPr>
        <w:spacing w:line="360" w:lineRule="auto"/>
        <w:jc w:val="both"/>
        <w:rPr>
          <w:rFonts w:ascii="David" w:hAnsi="David"/>
          <w:b/>
          <w:bCs/>
          <w:u w:val="single"/>
          <w:rtl/>
        </w:rPr>
      </w:pPr>
    </w:p>
    <w:p w:rsidR="00071BA9" w:rsidRPr="0043056E" w:rsidRDefault="0061306F" w:rsidP="0061306F">
      <w:pPr>
        <w:numPr>
          <w:ilvl w:val="0"/>
          <w:numId w:val="1"/>
        </w:numPr>
        <w:spacing w:line="360" w:lineRule="auto"/>
        <w:ind w:left="283"/>
        <w:contextualSpacing/>
        <w:jc w:val="both"/>
        <w:rPr>
          <w:rFonts w:ascii="David" w:hAnsi="David"/>
        </w:rPr>
      </w:pPr>
      <w:r>
        <w:rPr>
          <w:rFonts w:ascii="David" w:hAnsi="David"/>
          <w:rtl/>
        </w:rPr>
        <w:t>על כן, ניתן בזאת ל</w:t>
      </w:r>
      <w:r>
        <w:rPr>
          <w:rFonts w:ascii="David" w:hAnsi="David" w:hint="cs"/>
          <w:rtl/>
        </w:rPr>
        <w:t>אלמונית</w:t>
      </w:r>
      <w:r w:rsidR="00071BA9" w:rsidRPr="0043056E">
        <w:rPr>
          <w:rFonts w:ascii="David" w:hAnsi="David"/>
          <w:rtl/>
        </w:rPr>
        <w:t xml:space="preserve">, צו הורות פסיקתי על הקטינה מיום לידתה באופן שחלים עליה כל החובות, הזכויות והסמכויות הקיימות בין הורה לילדה. אין במתן הצו כדי לנתק את קשר ההורות בין </w:t>
      </w:r>
      <w:r>
        <w:rPr>
          <w:rFonts w:ascii="David" w:hAnsi="David" w:hint="cs"/>
          <w:rtl/>
        </w:rPr>
        <w:t>פלונית</w:t>
      </w:r>
      <w:r w:rsidR="00071BA9" w:rsidRPr="0043056E">
        <w:rPr>
          <w:rFonts w:ascii="David" w:hAnsi="David"/>
          <w:rtl/>
        </w:rPr>
        <w:t xml:space="preserve"> לקטינה.</w:t>
      </w:r>
    </w:p>
    <w:p w:rsidR="00071BA9" w:rsidRPr="0043056E" w:rsidRDefault="00071BA9" w:rsidP="0043056E">
      <w:pPr>
        <w:spacing w:line="360" w:lineRule="auto"/>
        <w:ind w:left="283"/>
        <w:contextualSpacing/>
        <w:jc w:val="both"/>
        <w:rPr>
          <w:rFonts w:ascii="David" w:hAnsi="David"/>
        </w:rPr>
      </w:pPr>
    </w:p>
    <w:p w:rsidR="00071BA9" w:rsidRPr="0043056E" w:rsidRDefault="00071BA9" w:rsidP="0043056E">
      <w:pPr>
        <w:numPr>
          <w:ilvl w:val="0"/>
          <w:numId w:val="1"/>
        </w:numPr>
        <w:spacing w:line="360" w:lineRule="auto"/>
        <w:ind w:left="283"/>
        <w:contextualSpacing/>
        <w:jc w:val="both"/>
        <w:rPr>
          <w:rFonts w:ascii="David" w:hAnsi="David"/>
        </w:rPr>
      </w:pPr>
      <w:r w:rsidRPr="0043056E">
        <w:rPr>
          <w:rFonts w:ascii="David" w:hAnsi="David"/>
          <w:rtl/>
        </w:rPr>
        <w:t xml:space="preserve">ב"כ המבקשות תגיש פסיקתא לחתימתי.  </w:t>
      </w:r>
    </w:p>
    <w:p w:rsidR="00071BA9" w:rsidRPr="0043056E" w:rsidRDefault="00071BA9" w:rsidP="0043056E">
      <w:pPr>
        <w:spacing w:line="360" w:lineRule="auto"/>
        <w:ind w:left="283"/>
        <w:contextualSpacing/>
        <w:jc w:val="both"/>
        <w:rPr>
          <w:rFonts w:ascii="David" w:hAnsi="David"/>
        </w:rPr>
      </w:pPr>
    </w:p>
    <w:p w:rsidR="00071BA9" w:rsidRPr="0043056E" w:rsidRDefault="00071BA9" w:rsidP="0043056E">
      <w:pPr>
        <w:numPr>
          <w:ilvl w:val="0"/>
          <w:numId w:val="1"/>
        </w:numPr>
        <w:spacing w:line="360" w:lineRule="auto"/>
        <w:ind w:left="283"/>
        <w:contextualSpacing/>
        <w:jc w:val="both"/>
        <w:rPr>
          <w:rFonts w:ascii="David" w:hAnsi="David"/>
          <w:rtl/>
        </w:rPr>
      </w:pPr>
      <w:r w:rsidRPr="0043056E">
        <w:rPr>
          <w:rFonts w:ascii="David" w:hAnsi="David"/>
          <w:rtl/>
        </w:rPr>
        <w:t>אין צו להוצאות.</w:t>
      </w:r>
    </w:p>
    <w:p w:rsidR="00071BA9" w:rsidRPr="0043056E" w:rsidRDefault="00071BA9" w:rsidP="0043056E">
      <w:pPr>
        <w:spacing w:line="360" w:lineRule="auto"/>
        <w:ind w:left="720"/>
        <w:contextualSpacing/>
        <w:jc w:val="both"/>
        <w:rPr>
          <w:rFonts w:ascii="David" w:hAnsi="David"/>
        </w:rPr>
      </w:pPr>
    </w:p>
    <w:p w:rsidR="00071BA9" w:rsidRPr="0043056E" w:rsidRDefault="00071BA9" w:rsidP="0043056E">
      <w:pPr>
        <w:spacing w:line="360" w:lineRule="auto"/>
        <w:ind w:left="-142"/>
        <w:jc w:val="both"/>
        <w:rPr>
          <w:rFonts w:ascii="David" w:hAnsi="David"/>
          <w:b/>
          <w:bCs/>
          <w:u w:val="single"/>
          <w:rtl/>
        </w:rPr>
      </w:pPr>
      <w:r w:rsidRPr="0043056E">
        <w:rPr>
          <w:rFonts w:ascii="David" w:hAnsi="David"/>
          <w:b/>
          <w:bCs/>
          <w:u w:val="single"/>
          <w:rtl/>
        </w:rPr>
        <w:t>המזכירות תמציא פסק הדין לצדדים ותסגור התיק.</w:t>
      </w:r>
    </w:p>
    <w:p w:rsidR="00071BA9" w:rsidRPr="0043056E" w:rsidRDefault="00071BA9" w:rsidP="0043056E">
      <w:pPr>
        <w:spacing w:line="360" w:lineRule="auto"/>
        <w:ind w:left="-142"/>
        <w:jc w:val="both"/>
        <w:rPr>
          <w:rFonts w:ascii="David" w:hAnsi="David"/>
        </w:rPr>
      </w:pPr>
    </w:p>
    <w:p w:rsidR="00694556" w:rsidRPr="0043056E" w:rsidRDefault="00005C8B" w:rsidP="000331D7">
      <w:pPr>
        <w:spacing w:line="360" w:lineRule="auto"/>
        <w:ind w:left="-142"/>
        <w:jc w:val="both"/>
        <w:rPr>
          <w:rFonts w:ascii="David" w:hAnsi="David"/>
          <w:noProof w:val="0"/>
          <w:rtl/>
        </w:rPr>
      </w:pPr>
      <w:r w:rsidRPr="0043056E">
        <w:rPr>
          <w:rFonts w:ascii="David" w:hAnsi="David"/>
          <w:noProof w:val="0"/>
          <w:rtl/>
        </w:rPr>
        <w:t xml:space="preserve">ניתן היום,  </w:t>
      </w:r>
      <w:sdt>
        <w:sdtPr>
          <w:rPr>
            <w:rFonts w:ascii="David" w:hAnsi="David"/>
            <w:rtl/>
          </w:rPr>
          <w:alias w:val="1455"/>
          <w:tag w:val="1455"/>
          <w:id w:val="242217728"/>
          <w:text w:multiLine="1"/>
        </w:sdtPr>
        <w:sdtEndPr/>
        <w:sdtContent>
          <w:r>
            <w:rPr>
              <w:rFonts w:ascii="David" w:hAnsi="David" w:hint="cs"/>
              <w:noProof w:val="0"/>
              <w:rtl/>
            </w:rPr>
            <w:t>ז' אייר תשפ"ג</w:t>
          </w:r>
        </w:sdtContent>
      </w:sdt>
      <w:r w:rsidRPr="0043056E">
        <w:rPr>
          <w:rFonts w:ascii="David" w:hAnsi="David"/>
          <w:noProof w:val="0"/>
          <w:rtl/>
        </w:rPr>
        <w:t xml:space="preserve">, </w:t>
      </w:r>
      <w:sdt>
        <w:sdtPr>
          <w:rPr>
            <w:rFonts w:ascii="David" w:hAnsi="David"/>
            <w:rtl/>
          </w:rPr>
          <w:alias w:val="1456"/>
          <w:tag w:val="1456"/>
          <w:id w:val="-1101635932"/>
          <w:text w:multiLine="1"/>
        </w:sdtPr>
        <w:sdtEndPr/>
        <w:sdtContent>
          <w:r>
            <w:rPr>
              <w:rFonts w:ascii="David" w:hAnsi="David" w:hint="cs"/>
              <w:noProof w:val="0"/>
              <w:rtl/>
            </w:rPr>
            <w:t>28 אפריל 2023</w:t>
          </w:r>
        </w:sdtContent>
      </w:sdt>
      <w:r w:rsidRPr="0043056E">
        <w:rPr>
          <w:rFonts w:ascii="David" w:hAnsi="David"/>
          <w:noProof w:val="0"/>
          <w:rtl/>
        </w:rPr>
        <w:t>, בהעדר הצדדים.</w:t>
      </w:r>
    </w:p>
    <w:p w:rsidR="001C7079" w:rsidRDefault="001C7079" w:rsidP="0043056E">
      <w:pPr>
        <w:spacing w:line="360" w:lineRule="auto"/>
        <w:ind w:left="-142"/>
        <w:jc w:val="both"/>
        <w:rPr>
          <w:rFonts w:ascii="Arial" w:hAnsi="Arial"/>
          <w:noProof w:val="0"/>
          <w:rtl/>
        </w:rPr>
      </w:pPr>
    </w:p>
    <w:p w:rsidR="001C7079" w:rsidRDefault="001C7079" w:rsidP="001C7079">
      <w:pPr>
        <w:spacing w:line="360" w:lineRule="auto"/>
        <w:jc w:val="center"/>
        <w:rPr>
          <w:rFonts w:ascii="Arial" w:hAnsi="Arial"/>
          <w:noProof w:val="0"/>
          <w:rtl/>
        </w:rPr>
      </w:pPr>
      <w:r>
        <w:rPr>
          <w:rFonts w:ascii="Arial" w:hAnsi="Arial"/>
          <w:noProof w:val="0"/>
          <w:rtl/>
        </w:rPr>
        <w:t xml:space="preserve">                                                                 </w:t>
      </w:r>
      <w:r>
        <w:rPr>
          <w:rFonts w:ascii="Arial" w:hAnsi="Arial"/>
        </w:rPr>
        <w:drawing>
          <wp:inline distT="0" distB="0" distL="0" distR="0">
            <wp:extent cx="1969770" cy="1177925"/>
            <wp:effectExtent l="0" t="0" r="0" b="317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9770" cy="1177925"/>
                    </a:xfrm>
                    <a:prstGeom prst="rect">
                      <a:avLst/>
                    </a:prstGeom>
                    <a:noFill/>
                    <a:ln>
                      <a:noFill/>
                    </a:ln>
                  </pic:spPr>
                </pic:pic>
              </a:graphicData>
            </a:graphic>
          </wp:inline>
        </w:drawing>
      </w:r>
    </w:p>
    <w:sectPr w:rsidR="001C7079"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368" w:rsidRDefault="004F5368">
      <w:r>
        <w:separator/>
      </w:r>
    </w:p>
  </w:endnote>
  <w:endnote w:type="continuationSeparator" w:id="0">
    <w:p w:rsidR="004F5368" w:rsidRDefault="004F5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163" w:rsidRDefault="009A216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E33D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E33D5">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163" w:rsidRDefault="009A216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368" w:rsidRDefault="004F5368">
      <w:r>
        <w:separator/>
      </w:r>
    </w:p>
  </w:footnote>
  <w:footnote w:type="continuationSeparator" w:id="0">
    <w:p w:rsidR="004F5368" w:rsidRDefault="004F5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163" w:rsidRDefault="009A216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4F5368">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51428-12-21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9B79DA">
                <w:rPr>
                  <w:rFonts w:hint="cs"/>
                  <w:b/>
                  <w:bCs/>
                  <w:noProof w:val="0"/>
                  <w:sz w:val="26"/>
                  <w:szCs w:val="26"/>
                </w:rPr>
                <w:t>XXX</w:t>
              </w:r>
              <w:r w:rsidR="00E44DDF">
                <w:rPr>
                  <w:b/>
                  <w:bCs/>
                  <w:noProof w:val="0"/>
                  <w:sz w:val="26"/>
                  <w:szCs w:val="26"/>
                  <w:rtl/>
                </w:rPr>
                <w:t xml:space="preserve"> ואח' נ' היועץ המשפטי לממשלה</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163" w:rsidRDefault="009A216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7A7508"/>
    <w:multiLevelType w:val="hybridMultilevel"/>
    <w:tmpl w:val="7068A7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331D7"/>
    <w:rsid w:val="000564AB"/>
    <w:rsid w:val="00071BA9"/>
    <w:rsid w:val="000C6E51"/>
    <w:rsid w:val="000D4A02"/>
    <w:rsid w:val="001072A9"/>
    <w:rsid w:val="00121F97"/>
    <w:rsid w:val="001277D7"/>
    <w:rsid w:val="00132017"/>
    <w:rsid w:val="0014234E"/>
    <w:rsid w:val="00145A87"/>
    <w:rsid w:val="001C4003"/>
    <w:rsid w:val="001C7079"/>
    <w:rsid w:val="001F5474"/>
    <w:rsid w:val="002352F7"/>
    <w:rsid w:val="00271152"/>
    <w:rsid w:val="0027277D"/>
    <w:rsid w:val="002B6850"/>
    <w:rsid w:val="00381D3A"/>
    <w:rsid w:val="003823DA"/>
    <w:rsid w:val="003E33D5"/>
    <w:rsid w:val="0043056E"/>
    <w:rsid w:val="0043595F"/>
    <w:rsid w:val="0047645A"/>
    <w:rsid w:val="004D49A3"/>
    <w:rsid w:val="004D50AC"/>
    <w:rsid w:val="004E6E3C"/>
    <w:rsid w:val="004F5368"/>
    <w:rsid w:val="005124F1"/>
    <w:rsid w:val="005269DB"/>
    <w:rsid w:val="00530BAD"/>
    <w:rsid w:val="00541598"/>
    <w:rsid w:val="00547DB7"/>
    <w:rsid w:val="00567324"/>
    <w:rsid w:val="005B0F49"/>
    <w:rsid w:val="005C7EC6"/>
    <w:rsid w:val="005D4BDB"/>
    <w:rsid w:val="006045F7"/>
    <w:rsid w:val="0061306F"/>
    <w:rsid w:val="00622BAA"/>
    <w:rsid w:val="00625C89"/>
    <w:rsid w:val="00633C4F"/>
    <w:rsid w:val="00671BD5"/>
    <w:rsid w:val="006805C1"/>
    <w:rsid w:val="006816EC"/>
    <w:rsid w:val="00694556"/>
    <w:rsid w:val="006E1A53"/>
    <w:rsid w:val="007056AA"/>
    <w:rsid w:val="00744F41"/>
    <w:rsid w:val="007A24FE"/>
    <w:rsid w:val="007A35AA"/>
    <w:rsid w:val="007A6A06"/>
    <w:rsid w:val="007F1048"/>
    <w:rsid w:val="00820005"/>
    <w:rsid w:val="00846D27"/>
    <w:rsid w:val="008610A7"/>
    <w:rsid w:val="008E1332"/>
    <w:rsid w:val="008F2D7B"/>
    <w:rsid w:val="00903896"/>
    <w:rsid w:val="009038F6"/>
    <w:rsid w:val="00903C53"/>
    <w:rsid w:val="00927813"/>
    <w:rsid w:val="00944D13"/>
    <w:rsid w:val="00957C90"/>
    <w:rsid w:val="009A2163"/>
    <w:rsid w:val="009B70F6"/>
    <w:rsid w:val="009B79DA"/>
    <w:rsid w:val="009C358E"/>
    <w:rsid w:val="009E0263"/>
    <w:rsid w:val="00A267CF"/>
    <w:rsid w:val="00A43458"/>
    <w:rsid w:val="00AC4E19"/>
    <w:rsid w:val="00AF1ED6"/>
    <w:rsid w:val="00B12827"/>
    <w:rsid w:val="00B32C61"/>
    <w:rsid w:val="00B368FE"/>
    <w:rsid w:val="00B80CBD"/>
    <w:rsid w:val="00BC3369"/>
    <w:rsid w:val="00BD24EC"/>
    <w:rsid w:val="00BF77EE"/>
    <w:rsid w:val="00C32E0F"/>
    <w:rsid w:val="00C42BF9"/>
    <w:rsid w:val="00C83E56"/>
    <w:rsid w:val="00CC63CE"/>
    <w:rsid w:val="00CC7ADC"/>
    <w:rsid w:val="00D319B3"/>
    <w:rsid w:val="00D36A71"/>
    <w:rsid w:val="00D53924"/>
    <w:rsid w:val="00D60849"/>
    <w:rsid w:val="00D96D8C"/>
    <w:rsid w:val="00D9751E"/>
    <w:rsid w:val="00DA607C"/>
    <w:rsid w:val="00DA755B"/>
    <w:rsid w:val="00DC5464"/>
    <w:rsid w:val="00DD337E"/>
    <w:rsid w:val="00E00B6F"/>
    <w:rsid w:val="00E322EF"/>
    <w:rsid w:val="00E44DDF"/>
    <w:rsid w:val="00E54642"/>
    <w:rsid w:val="00E97908"/>
    <w:rsid w:val="00EC14E9"/>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071BA9"/>
    <w:pPr>
      <w:spacing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071BA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785130">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10093026">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24493238"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evo.co.il/case/5683220"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200BA6" w:rsidP="00200BA6">
          <w:pPr>
            <w:pStyle w:val="188595C706B84060A65FC27D8AEC282C1"/>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9E7FE0"/>
    <w:rsid w:val="00A73FEE"/>
    <w:rsid w:val="00B40AEB"/>
    <w:rsid w:val="00B65812"/>
    <w:rsid w:val="00CC5512"/>
    <w:rsid w:val="00EA7F31"/>
    <w:rsid w:val="00FD34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1443</Words>
  <Characters>7219</Characters>
  <Application>Microsoft Office Word</Application>
  <DocSecurity>0</DocSecurity>
  <Lines>60</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2023-05-29T09:40:00Z</dcterms:created>
  <dcterms:modified xsi:type="dcterms:W3CDTF">2023-05-29T09:40:00Z</dcterms:modified>
</cp:coreProperties>
</file>